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JEFFREY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2"/>
        <w:gridCol w:w="773"/>
        <w:gridCol w:w="599"/>
        <w:gridCol w:w="344"/>
        <w:gridCol w:w="831"/>
        <w:gridCol w:w="442"/>
        <w:gridCol w:w="748"/>
        <w:gridCol w:w="1142"/>
        <w:gridCol w:w="982"/>
        <w:gridCol w:w="10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454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20.09</w:t>
            </w:r>
            <w:r>
              <w:rPr/>
              <w:t xml:space="preserve"> 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23,853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Jeffrey J Brown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1,841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20.09</w:t>
            </w:r>
            <w:r>
              <w:rPr/>
              <w:t xml:space="preserve"> 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96,681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Brown Equity Partners,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172,683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purchased pursuant to a dividend reinvestment feature of a brokerage account maintained by the Jeffrey J Brown Living Trust, of which the reporting person is the sole trustee and sole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in a brokerage account maintained by the Jeffrey J Brown Living Trust, of which the reporting person is the sole trustee and sole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purchased pursuant to a dividend reinvestment feature of a brokerage account maintained by Brown Equity Partners, LLC, which is owned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in a brokerage account maintained by Brown Equity Partners, LLC, which is owned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5377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769</Words>
  <Characters>4094</Characters>
  <CharactersWithSpaces>4786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