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294640</wp:posOffset>
            </wp:positionH>
            <wp:positionV relativeFrom="page">
              <wp:posOffset>581025</wp:posOffset>
            </wp:positionV>
            <wp:extent cx="69596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9600" cy="698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600710</wp:posOffset>
            </wp:positionV>
            <wp:extent cx="69596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9600" cy="6985"/>
                    </a:xfrm>
                    <a:prstGeom prst="rect">
                      <a:avLst/>
                    </a:prstGeom>
                    <a:noFill/>
                  </pic:spPr>
                </pic:pic>
              </a:graphicData>
            </a:graphic>
          </wp:anchor>
        </w:drawing>
        <w:t>UNITED STATES</w:t>
      </w:r>
    </w:p>
    <w:p>
      <w:pPr>
        <w:spacing w:after="0" w:line="4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8"/>
          <w:szCs w:val="8"/>
          <w:color w:val="auto"/>
        </w:rPr>
        <w:t>__________________________________________________</w:t>
      </w:r>
    </w:p>
    <w:p>
      <w:pPr>
        <w:spacing w:after="0" w:line="7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FORM 8-K</w:t>
      </w:r>
    </w:p>
    <w:p>
      <w:pPr>
        <w:spacing w:after="0" w:line="8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8"/>
          <w:szCs w:val="8"/>
          <w:color w:val="auto"/>
        </w:rPr>
        <w:t>__________________________________________________</w:t>
      </w:r>
    </w:p>
    <w:p>
      <w:pPr>
        <w:spacing w:after="0" w:line="7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3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8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Date of Report:</w:t>
      </w:r>
    </w:p>
    <w:p>
      <w:pPr>
        <w:spacing w:after="0" w:line="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(Date of earliest event reported)</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February 22, 2023</w:t>
      </w:r>
    </w:p>
    <w:p>
      <w:pPr>
        <w:spacing w:after="0" w:line="4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color w:val="auto"/>
        </w:rPr>
        <w:t>___________________________________________________</w:t>
      </w:r>
    </w:p>
    <w:p>
      <w:pPr>
        <w:spacing w:after="0" w:line="7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color w:val="auto"/>
        </w:rPr>
        <w:t>UPBOUND GROUP, INC.</w:t>
      </w:r>
    </w:p>
    <w:p>
      <w:pPr>
        <w:spacing w:after="0" w:line="4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charter)</w:t>
      </w:r>
    </w:p>
    <w:p>
      <w:pPr>
        <w:spacing w:after="0" w:line="4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color w:val="auto"/>
        </w:rPr>
        <w:t>___________________________________________________</w:t>
      </w:r>
    </w:p>
    <w:p>
      <w:pPr>
        <w:spacing w:after="0" w:line="251" w:lineRule="exact"/>
        <w:rPr>
          <w:sz w:val="24"/>
          <w:szCs w:val="24"/>
          <w:color w:val="auto"/>
        </w:rPr>
      </w:pPr>
    </w:p>
    <w:tbl>
      <w:tblPr>
        <w:tblLayout w:type="fixed"/>
        <w:tblInd w:w="940" w:type="dxa"/>
        <w:tblCellMar>
          <w:top w:w="0" w:type="dxa"/>
          <w:left w:w="0" w:type="dxa"/>
          <w:bottom w:w="0" w:type="dxa"/>
          <w:right w:w="0" w:type="dxa"/>
        </w:tblCellMar>
      </w:tblPr>
      <w:tr>
        <w:trPr>
          <w:trHeight w:val="182"/>
        </w:trPr>
        <w:tc>
          <w:tcPr>
            <w:tcW w:w="2340" w:type="dxa"/>
            <w:vAlign w:val="bottom"/>
          </w:tcPr>
          <w:p>
            <w:pPr>
              <w:jc w:val="center"/>
              <w:ind w:right="1003"/>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860" w:type="dxa"/>
            <w:vAlign w:val="bottom"/>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5"/>
              </w:rPr>
              <w:t>001-38047</w:t>
            </w:r>
          </w:p>
        </w:tc>
        <w:tc>
          <w:tcPr>
            <w:tcW w:w="1940" w:type="dxa"/>
            <w:vAlign w:val="bottom"/>
          </w:tcPr>
          <w:p>
            <w:pPr>
              <w:jc w:val="center"/>
              <w:ind w:left="1106"/>
              <w:spacing w:after="0"/>
              <w:rPr>
                <w:sz w:val="20"/>
                <w:szCs w:val="20"/>
                <w:color w:val="auto"/>
              </w:rPr>
            </w:pPr>
            <w:r>
              <w:rPr>
                <w:rFonts w:ascii="Times New Roman" w:cs="Times New Roman" w:eastAsia="Times New Roman" w:hAnsi="Times New Roman"/>
                <w:sz w:val="13"/>
                <w:szCs w:val="13"/>
                <w:b w:val="1"/>
                <w:bCs w:val="1"/>
                <w:color w:val="auto"/>
                <w:w w:val="98"/>
              </w:rPr>
              <w:t>45-0491516</w:t>
            </w:r>
          </w:p>
        </w:tc>
      </w:tr>
      <w:tr>
        <w:trPr>
          <w:trHeight w:val="100"/>
        </w:trPr>
        <w:tc>
          <w:tcPr>
            <w:tcW w:w="2340" w:type="dxa"/>
            <w:vAlign w:val="bottom"/>
          </w:tcPr>
          <w:p>
            <w:pPr>
              <w:jc w:val="center"/>
              <w:ind w:right="1003"/>
              <w:spacing w:after="0" w:line="101"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4860" w:type="dxa"/>
            <w:vAlign w:val="bottom"/>
          </w:tcPr>
          <w:p>
            <w:pPr>
              <w:jc w:val="center"/>
              <w:ind w:right="83"/>
              <w:spacing w:after="0" w:line="101" w:lineRule="exact"/>
              <w:rPr>
                <w:sz w:val="20"/>
                <w:szCs w:val="20"/>
                <w:color w:val="auto"/>
              </w:rPr>
            </w:pPr>
            <w:r>
              <w:rPr>
                <w:rFonts w:ascii="Times New Roman" w:cs="Times New Roman" w:eastAsia="Times New Roman" w:hAnsi="Times New Roman"/>
                <w:sz w:val="10"/>
                <w:szCs w:val="10"/>
                <w:b w:val="1"/>
                <w:bCs w:val="1"/>
                <w:color w:val="auto"/>
                <w:w w:val="99"/>
              </w:rPr>
              <w:t>(Commission</w:t>
            </w:r>
          </w:p>
        </w:tc>
        <w:tc>
          <w:tcPr>
            <w:tcW w:w="1940" w:type="dxa"/>
            <w:vAlign w:val="bottom"/>
          </w:tcPr>
          <w:p>
            <w:pPr>
              <w:jc w:val="center"/>
              <w:ind w:left="1126"/>
              <w:spacing w:after="0" w:line="101" w:lineRule="exact"/>
              <w:rPr>
                <w:sz w:val="20"/>
                <w:szCs w:val="20"/>
                <w:color w:val="auto"/>
              </w:rPr>
            </w:pPr>
            <w:r>
              <w:rPr>
                <w:rFonts w:ascii="Times New Roman" w:cs="Times New Roman" w:eastAsia="Times New Roman" w:hAnsi="Times New Roman"/>
                <w:sz w:val="10"/>
                <w:szCs w:val="10"/>
                <w:b w:val="1"/>
                <w:bCs w:val="1"/>
                <w:color w:val="auto"/>
                <w:w w:val="98"/>
              </w:rPr>
              <w:t>(IRS Employer</w:t>
            </w:r>
          </w:p>
        </w:tc>
      </w:tr>
      <w:tr>
        <w:trPr>
          <w:trHeight w:val="130"/>
        </w:trPr>
        <w:tc>
          <w:tcPr>
            <w:tcW w:w="2340" w:type="dxa"/>
            <w:vAlign w:val="bottom"/>
          </w:tcPr>
          <w:p>
            <w:pPr>
              <w:jc w:val="center"/>
              <w:ind w:right="1003"/>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486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940" w:type="dxa"/>
            <w:vAlign w:val="bottom"/>
          </w:tcPr>
          <w:p>
            <w:pPr>
              <w:jc w:val="center"/>
              <w:ind w:left="1106"/>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352"/>
        </w:trPr>
        <w:tc>
          <w:tcPr>
            <w:tcW w:w="2340" w:type="dxa"/>
            <w:vAlign w:val="bottom"/>
          </w:tcPr>
          <w:p>
            <w:pPr>
              <w:spacing w:after="0"/>
              <w:rPr>
                <w:sz w:val="24"/>
                <w:szCs w:val="24"/>
                <w:color w:val="auto"/>
              </w:rPr>
            </w:pPr>
          </w:p>
        </w:tc>
        <w:tc>
          <w:tcPr>
            <w:tcW w:w="486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7"/>
              </w:rPr>
              <w:t>5501 Headquarters Drive</w:t>
            </w:r>
          </w:p>
        </w:tc>
        <w:tc>
          <w:tcPr>
            <w:tcW w:w="1940" w:type="dxa"/>
            <w:vAlign w:val="bottom"/>
          </w:tcPr>
          <w:p>
            <w:pPr>
              <w:spacing w:after="0"/>
              <w:rPr>
                <w:sz w:val="24"/>
                <w:szCs w:val="24"/>
                <w:color w:val="auto"/>
              </w:rPr>
            </w:pPr>
          </w:p>
        </w:tc>
      </w:tr>
      <w:tr>
        <w:trPr>
          <w:trHeight w:val="171"/>
        </w:trPr>
        <w:tc>
          <w:tcPr>
            <w:tcW w:w="2340" w:type="dxa"/>
            <w:vAlign w:val="bottom"/>
          </w:tcPr>
          <w:p>
            <w:pPr>
              <w:spacing w:after="0"/>
              <w:rPr>
                <w:sz w:val="14"/>
                <w:szCs w:val="14"/>
                <w:color w:val="auto"/>
              </w:rPr>
            </w:pPr>
          </w:p>
        </w:tc>
        <w:tc>
          <w:tcPr>
            <w:tcW w:w="486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8"/>
              </w:rPr>
              <w:t xml:space="preserve">Plano, </w:t>
            </w:r>
            <w:r>
              <w:rPr>
                <w:rFonts w:ascii="Times New Roman" w:cs="Times New Roman" w:eastAsia="Times New Roman" w:hAnsi="Times New Roman"/>
                <w:sz w:val="14"/>
                <w:szCs w:val="14"/>
                <w:b w:val="1"/>
                <w:bCs w:val="1"/>
                <w:color w:val="auto"/>
                <w:w w:val="98"/>
              </w:rPr>
              <w:t>Texas 75024</w:t>
            </w:r>
          </w:p>
        </w:tc>
        <w:tc>
          <w:tcPr>
            <w:tcW w:w="1940" w:type="dxa"/>
            <w:vAlign w:val="bottom"/>
          </w:tcPr>
          <w:p>
            <w:pPr>
              <w:spacing w:after="0"/>
              <w:rPr>
                <w:sz w:val="14"/>
                <w:szCs w:val="14"/>
                <w:color w:val="auto"/>
              </w:rPr>
            </w:pPr>
          </w:p>
        </w:tc>
      </w:tr>
      <w:tr>
        <w:trPr>
          <w:trHeight w:val="130"/>
        </w:trPr>
        <w:tc>
          <w:tcPr>
            <w:tcW w:w="2340" w:type="dxa"/>
            <w:vAlign w:val="bottom"/>
          </w:tcPr>
          <w:p>
            <w:pPr>
              <w:spacing w:after="0"/>
              <w:rPr>
                <w:sz w:val="11"/>
                <w:szCs w:val="11"/>
                <w:color w:val="auto"/>
              </w:rPr>
            </w:pPr>
          </w:p>
        </w:tc>
        <w:tc>
          <w:tcPr>
            <w:tcW w:w="486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9"/>
              </w:rPr>
              <w:t>(Address of principal executive offices and zip code)</w:t>
            </w:r>
          </w:p>
        </w:tc>
        <w:tc>
          <w:tcPr>
            <w:tcW w:w="1940" w:type="dxa"/>
            <w:vAlign w:val="bottom"/>
          </w:tcPr>
          <w:p>
            <w:pPr>
              <w:spacing w:after="0"/>
              <w:rPr>
                <w:sz w:val="11"/>
                <w:szCs w:val="11"/>
                <w:color w:val="auto"/>
              </w:rPr>
            </w:pPr>
          </w:p>
        </w:tc>
      </w:tr>
      <w:tr>
        <w:trPr>
          <w:trHeight w:val="262"/>
        </w:trPr>
        <w:tc>
          <w:tcPr>
            <w:tcW w:w="2340" w:type="dxa"/>
            <w:vAlign w:val="bottom"/>
          </w:tcPr>
          <w:p>
            <w:pPr>
              <w:spacing w:after="0"/>
              <w:rPr>
                <w:sz w:val="22"/>
                <w:szCs w:val="22"/>
                <w:color w:val="auto"/>
              </w:rPr>
            </w:pPr>
          </w:p>
        </w:tc>
        <w:tc>
          <w:tcPr>
            <w:tcW w:w="4860" w:type="dxa"/>
            <w:vAlign w:val="bottom"/>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8"/>
              </w:rPr>
              <w:t>(972) 801-1100</w:t>
            </w:r>
          </w:p>
        </w:tc>
        <w:tc>
          <w:tcPr>
            <w:tcW w:w="1940" w:type="dxa"/>
            <w:vAlign w:val="bottom"/>
          </w:tcPr>
          <w:p>
            <w:pPr>
              <w:spacing w:after="0"/>
              <w:rPr>
                <w:sz w:val="22"/>
                <w:szCs w:val="22"/>
                <w:color w:val="auto"/>
              </w:rPr>
            </w:pPr>
          </w:p>
        </w:tc>
      </w:tr>
      <w:tr>
        <w:trPr>
          <w:trHeight w:val="130"/>
        </w:trPr>
        <w:tc>
          <w:tcPr>
            <w:tcW w:w="2340" w:type="dxa"/>
            <w:vAlign w:val="bottom"/>
          </w:tcPr>
          <w:p>
            <w:pPr>
              <w:spacing w:after="0"/>
              <w:rPr>
                <w:sz w:val="11"/>
                <w:szCs w:val="11"/>
                <w:color w:val="auto"/>
              </w:rPr>
            </w:pPr>
          </w:p>
        </w:tc>
        <w:tc>
          <w:tcPr>
            <w:tcW w:w="486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c>
          <w:tcPr>
            <w:tcW w:w="1940" w:type="dxa"/>
            <w:vAlign w:val="bottom"/>
          </w:tcPr>
          <w:p>
            <w:pPr>
              <w:spacing w:after="0"/>
              <w:rPr>
                <w:sz w:val="11"/>
                <w:szCs w:val="11"/>
                <w:color w:val="auto"/>
              </w:rPr>
            </w:pPr>
          </w:p>
        </w:tc>
      </w:tr>
      <w:tr>
        <w:trPr>
          <w:trHeight w:val="273"/>
        </w:trPr>
        <w:tc>
          <w:tcPr>
            <w:tcW w:w="2340" w:type="dxa"/>
            <w:vAlign w:val="bottom"/>
          </w:tcPr>
          <w:p>
            <w:pPr>
              <w:spacing w:after="0"/>
              <w:rPr>
                <w:sz w:val="23"/>
                <w:szCs w:val="23"/>
                <w:color w:val="auto"/>
              </w:rPr>
            </w:pPr>
          </w:p>
        </w:tc>
        <w:tc>
          <w:tcPr>
            <w:tcW w:w="4860" w:type="dxa"/>
            <w:vAlign w:val="bottom"/>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7"/>
              </w:rPr>
              <w:t>Rent-A-Center, Inc.</w:t>
            </w:r>
          </w:p>
        </w:tc>
        <w:tc>
          <w:tcPr>
            <w:tcW w:w="1940" w:type="dxa"/>
            <w:vAlign w:val="bottom"/>
          </w:tcPr>
          <w:p>
            <w:pPr>
              <w:spacing w:after="0"/>
              <w:rPr>
                <w:sz w:val="23"/>
                <w:szCs w:val="23"/>
                <w:color w:val="auto"/>
              </w:rPr>
            </w:pPr>
          </w:p>
        </w:tc>
      </w:tr>
      <w:tr>
        <w:trPr>
          <w:trHeight w:val="130"/>
        </w:trPr>
        <w:tc>
          <w:tcPr>
            <w:tcW w:w="2340" w:type="dxa"/>
            <w:vAlign w:val="bottom"/>
          </w:tcPr>
          <w:p>
            <w:pPr>
              <w:spacing w:after="0"/>
              <w:rPr>
                <w:sz w:val="11"/>
                <w:szCs w:val="11"/>
                <w:color w:val="auto"/>
              </w:rPr>
            </w:pPr>
          </w:p>
        </w:tc>
        <w:tc>
          <w:tcPr>
            <w:tcW w:w="486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8"/>
              </w:rPr>
              <w:t>(Former name or former address, if changed since last report)</w:t>
            </w:r>
          </w:p>
        </w:tc>
        <w:tc>
          <w:tcPr>
            <w:tcW w:w="1940" w:type="dxa"/>
            <w:vAlign w:val="bottom"/>
          </w:tcPr>
          <w:p>
            <w:pPr>
              <w:spacing w:after="0"/>
              <w:rPr>
                <w:sz w:val="11"/>
                <w:szCs w:val="11"/>
                <w:color w:val="auto"/>
              </w:rPr>
            </w:pPr>
          </w:p>
        </w:tc>
      </w:tr>
    </w:tbl>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60" w:lineRule="exact"/>
        <w:rPr>
          <w:rFonts w:ascii="MS PGothic" w:cs="MS PGothic" w:eastAsia="MS PGothic" w:hAnsi="MS PGothic"/>
          <w:sz w:val="17"/>
          <w:szCs w:val="17"/>
          <w:color w:val="auto"/>
        </w:rPr>
      </w:pPr>
    </w:p>
    <w:p>
      <w:pPr>
        <w:ind w:left="400" w:hanging="381"/>
        <w:spacing w:after="0" w:line="208" w:lineRule="auto"/>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61" w:lineRule="exact"/>
        <w:rPr>
          <w:rFonts w:ascii="MS PGothic" w:cs="MS PGothic" w:eastAsia="MS PGothic" w:hAnsi="MS PGothic"/>
          <w:sz w:val="17"/>
          <w:szCs w:val="17"/>
          <w:color w:val="auto"/>
        </w:rPr>
      </w:pPr>
    </w:p>
    <w:p>
      <w:pPr>
        <w:ind w:left="400" w:hanging="381"/>
        <w:spacing w:after="0" w:line="208" w:lineRule="auto"/>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61" w:lineRule="exact"/>
        <w:rPr>
          <w:rFonts w:ascii="MS PGothic" w:cs="MS PGothic" w:eastAsia="MS PGothic" w:hAnsi="MS PGothic"/>
          <w:sz w:val="17"/>
          <w:szCs w:val="17"/>
          <w:color w:val="auto"/>
        </w:rPr>
      </w:pPr>
    </w:p>
    <w:p>
      <w:pPr>
        <w:ind w:left="400" w:hanging="381"/>
        <w:spacing w:after="0" w:line="208" w:lineRule="auto"/>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12(b) of the Act:</w:t>
      </w:r>
    </w:p>
    <w:p>
      <w:pPr>
        <w:sectPr>
          <w:pgSz w:w="11900" w:h="16838" w:orient="portrait"/>
          <w:cols w:equalWidth="0" w:num="1">
            <w:col w:w="10960"/>
          </w:cols>
          <w:pgMar w:left="300" w:top="1058" w:right="639" w:bottom="1440" w:gutter="0" w:footer="0" w:header="0"/>
        </w:sectPr>
      </w:pPr>
    </w:p>
    <w:p>
      <w:pPr>
        <w:spacing w:after="0" w:line="31" w:lineRule="exact"/>
        <w:rPr>
          <w:sz w:val="24"/>
          <w:szCs w:val="24"/>
          <w:color w:val="auto"/>
        </w:rPr>
      </w:pPr>
    </w:p>
    <w:p>
      <w:pPr>
        <w:jc w:val="center"/>
        <w:ind w:left="280"/>
        <w:spacing w:after="0"/>
        <w:rPr>
          <w:sz w:val="20"/>
          <w:szCs w:val="20"/>
          <w:color w:val="auto"/>
        </w:rPr>
      </w:pPr>
      <w:r>
        <w:rPr>
          <w:rFonts w:ascii="Times New Roman" w:cs="Times New Roman" w:eastAsia="Times New Roman" w:hAnsi="Times New Roman"/>
          <w:sz w:val="13"/>
          <w:szCs w:val="13"/>
          <w:color w:val="auto"/>
        </w:rPr>
        <w:t>Title of each class</w:t>
      </w:r>
    </w:p>
    <w:p>
      <w:pPr>
        <w:spacing w:after="0" w:line="16" w:lineRule="exact"/>
        <w:rPr>
          <w:sz w:val="24"/>
          <w:szCs w:val="24"/>
          <w:color w:val="auto"/>
        </w:rPr>
      </w:pPr>
    </w:p>
    <w:p>
      <w:pPr>
        <w:jc w:val="center"/>
        <w:ind w:left="280"/>
        <w:spacing w:after="0"/>
        <w:rPr>
          <w:sz w:val="20"/>
          <w:szCs w:val="20"/>
          <w:color w:val="auto"/>
        </w:rPr>
      </w:pPr>
      <w:r>
        <w:rPr>
          <w:rFonts w:ascii="Times New Roman" w:cs="Times New Roman" w:eastAsia="Times New Roman" w:hAnsi="Times New Roman"/>
          <w:sz w:val="13"/>
          <w:szCs w:val="13"/>
          <w:color w:val="auto"/>
        </w:rPr>
        <w:t>Common Stock, $.01 Par Value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Trading Symbol(s)</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RCII</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2"/>
          <w:szCs w:val="12"/>
          <w:color w:val="auto"/>
        </w:rPr>
        <w:t>Name of each exchange on which registered</w:t>
      </w:r>
    </w:p>
    <w:p>
      <w:pPr>
        <w:spacing w:after="0" w:line="2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The Nasdaq Stock Market</w:t>
      </w:r>
    </w:p>
    <w:p>
      <w:pPr>
        <w:spacing w:after="0" w:line="161" w:lineRule="exact"/>
        <w:rPr>
          <w:sz w:val="24"/>
          <w:szCs w:val="24"/>
          <w:color w:val="auto"/>
        </w:rPr>
      </w:pPr>
    </w:p>
    <w:p>
      <w:pPr>
        <w:sectPr>
          <w:pgSz w:w="11900" w:h="16838" w:orient="portrait"/>
          <w:cols w:equalWidth="0" w:num="3">
            <w:col w:w="4100" w:space="720"/>
            <w:col w:w="2100" w:space="720"/>
            <w:col w:w="3320"/>
          </w:cols>
          <w:pgMar w:left="300" w:top="1058" w:right="639" w:bottom="1440" w:gutter="0" w:footer="0" w:header="0"/>
          <w:type w:val="continuous"/>
        </w:sectPr>
      </w:pPr>
    </w:p>
    <w:p>
      <w:pPr>
        <w:ind w:right="140"/>
        <w:spacing w:after="0" w:line="252"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ind w:left="20"/>
        <w:spacing w:after="0" w:line="161" w:lineRule="exact"/>
        <w:tabs>
          <w:tab w:leader="none" w:pos="2500" w:val="left"/>
        </w:tabs>
        <w:rPr>
          <w:sz w:val="20"/>
          <w:szCs w:val="20"/>
          <w:color w:val="auto"/>
        </w:rPr>
      </w:pP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10620" w:type="dxa"/>
            <w:vAlign w:val="bottom"/>
          </w:tcPr>
          <w:p>
            <w:pPr>
              <w:spacing w:after="0"/>
              <w:rPr>
                <w:sz w:val="20"/>
                <w:szCs w:val="20"/>
                <w:color w:val="auto"/>
              </w:rPr>
            </w:pPr>
            <w:r>
              <w:rPr>
                <w:rFonts w:ascii="Times New Roman" w:cs="Times New Roman" w:eastAsia="Times New Roman" w:hAnsi="Times New Roman"/>
                <w:sz w:val="13"/>
                <w:szCs w:val="13"/>
                <w:color w:val="auto"/>
                <w:w w:val="99"/>
              </w:rPr>
              <w:t>If an emerging growth company, indicate by check mark if the registrant has elected not to use the extended transition period for complying with any new or revised financial accounting standards provided</w:t>
            </w:r>
          </w:p>
        </w:tc>
        <w:tc>
          <w:tcPr>
            <w:tcW w:w="320" w:type="dxa"/>
            <w:vAlign w:val="bottom"/>
            <w:vMerge w:val="restart"/>
          </w:tcPr>
          <w:p>
            <w:pPr>
              <w:ind w:left="20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79"/>
        </w:trPr>
        <w:tc>
          <w:tcPr>
            <w:tcW w:w="10620" w:type="dxa"/>
            <w:vAlign w:val="bottom"/>
          </w:tcPr>
          <w:p>
            <w:pPr>
              <w:spacing w:after="0"/>
              <w:rPr>
                <w:sz w:val="20"/>
                <w:szCs w:val="20"/>
                <w:color w:val="auto"/>
              </w:rPr>
            </w:pPr>
            <w:r>
              <w:rPr>
                <w:rFonts w:ascii="Times New Roman" w:cs="Times New Roman" w:eastAsia="Times New Roman" w:hAnsi="Times New Roman"/>
                <w:sz w:val="13"/>
                <w:szCs w:val="13"/>
                <w:color w:val="auto"/>
              </w:rPr>
              <w:t>pursuant to Section 13(a) of the Exchange Act.</w:t>
            </w: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708660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71348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108585</wp:posOffset>
            </wp:positionV>
            <wp:extent cx="71348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6985"/>
                    </a:xfrm>
                    <a:prstGeom prst="rect">
                      <a:avLst/>
                    </a:prstGeom>
                    <a:noFill/>
                  </pic:spPr>
                </pic:pic>
              </a:graphicData>
            </a:graphic>
          </wp:anchor>
        </w:drawing>
      </w:r>
    </w:p>
    <w:p>
      <w:pPr>
        <w:sectPr>
          <w:pgSz w:w="11900" w:h="16838" w:orient="portrait"/>
          <w:cols w:equalWidth="0" w:num="1">
            <w:col w:w="10960"/>
          </w:cols>
          <w:pgMar w:left="300" w:top="1058"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5.03 Amendments to Articles of Incorporation or Bylaws; Change in Fiscal Year.</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On February 21, 2023, Upbound Group, Inc. (the “Company”) filed a Certificate of Amendment to its Certificate of Incorporation with the Secretary of State of the State of Delaware to change the Company’s name from Rent-A-Center, Inc. to Upbound Group, Inc., which was approved by the board of directors (the “Board”) of the Company. The name change became effective on February 22, 2023.</w:t>
      </w:r>
    </w:p>
    <w:p>
      <w:pPr>
        <w:spacing w:after="0" w:line="149"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Additionally, the Board approved and adopted an amendment and restatement of the Company’s existing bylaws (as amended and restated, the “Amended and Restated Bylaws”) effective on February 22, 2023, solely to reflect the change of the Company’s name from Rent-A-Center, Inc. to Upbound Group, Inc.</w:t>
      </w:r>
    </w:p>
    <w:p>
      <w:pPr>
        <w:spacing w:after="0" w:line="149"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In connection with the foregoing, the Company will also change the trading symbol under which its common stock is traded with The Nasdaq Global Select Market from “RCII” to “UPBD,” effective as of the opening of market trading on February 27, 2023. There will be no change to the CUSIP number for the Company’s common stock.</w:t>
      </w:r>
    </w:p>
    <w:p>
      <w:pPr>
        <w:spacing w:after="0" w:line="14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3"/>
          <w:szCs w:val="13"/>
          <w:color w:val="auto"/>
        </w:rPr>
        <w:t>The foregoing summary does not purport to be complete and is qualified in its entirety by reference to the Certificate of Amendment and Amended and Restated Bylaws, copies of which are attached as Exhibits 3.1 and 3.2, respectively, to this Current Report on Form 8-K and are incorporated herein by reference.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On February 23, 2023, the Company issued a press release announcing the Company’s name change from Rent-A-Center, Inc. to Upbound Group, Inc. A copy of the press release is attached as Exhibit 99.1 hereto and is incorporated herein by reference.</w:t>
      </w:r>
    </w:p>
    <w:p>
      <w:pPr>
        <w:spacing w:after="0" w:line="149"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The information furnished pursuant to this Item 7.01, as well as Exhibit 99.1 referenced herein, shall not be deemed “filed” for purposes of Section 18 of the Securities Exchange Act of 1934, nor shall it be deemed incorporated by reference in any filing under the Securities Act of 1933.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The following exhibits are being filed or furnished herewith:</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Exhibit No.</w:t>
            </w: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16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Description</w:t>
            </w:r>
          </w:p>
        </w:tc>
      </w:tr>
      <w:tr>
        <w:trPr>
          <w:trHeight w:val="131"/>
        </w:trPr>
        <w:tc>
          <w:tcPr>
            <w:tcW w:w="11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8"/>
              </w:rPr>
              <w:t>3.1</w:t>
            </w:r>
          </w:p>
        </w:tc>
        <w:tc>
          <w:tcPr>
            <w:tcW w:w="2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740" w:type="dxa"/>
            <w:vAlign w:val="bottom"/>
            <w:tcBorders>
              <w:top w:val="single" w:sz="8" w:color="auto"/>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w w:val="97"/>
              </w:rPr>
              <w:t>Certificate of Amendment to Certificate of Incorporation of the Company</w:t>
            </w:r>
          </w:p>
        </w:tc>
        <w:tc>
          <w:tcPr>
            <w:tcW w:w="61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92"/>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Amended and Restated Bylaws of the Company</w:t>
            </w:r>
          </w:p>
        </w:tc>
        <w:tc>
          <w:tcPr>
            <w:tcW w:w="7180" w:type="dxa"/>
            <w:vAlign w:val="bottom"/>
            <w:gridSpan w:val="3"/>
          </w:tcPr>
          <w:p>
            <w:pPr>
              <w:spacing w:after="0"/>
              <w:rPr>
                <w:sz w:val="16"/>
                <w:szCs w:val="16"/>
                <w:color w:val="auto"/>
              </w:rPr>
            </w:pPr>
          </w:p>
        </w:tc>
      </w:tr>
      <w:tr>
        <w:trPr>
          <w:trHeight w:val="16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99.1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6"/>
              </w:rPr>
              <w:t>Press Release, dated February 23, 2023</w:t>
            </w:r>
          </w:p>
        </w:tc>
        <w:tc>
          <w:tcPr>
            <w:tcW w:w="7900" w:type="dxa"/>
            <w:vAlign w:val="bottom"/>
            <w:gridSpan w:val="4"/>
          </w:tcPr>
          <w:p>
            <w:pPr>
              <w:spacing w:after="0"/>
              <w:rPr>
                <w:sz w:val="13"/>
                <w:szCs w:val="13"/>
                <w:color w:val="auto"/>
              </w:rPr>
            </w:pPr>
          </w:p>
        </w:tc>
      </w:tr>
      <w:tr>
        <w:trPr>
          <w:trHeight w:val="22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 the Inline XBRL document)</w:t>
            </w:r>
          </w:p>
        </w:tc>
      </w:tr>
      <w:tr>
        <w:trPr>
          <w:trHeight w:val="961"/>
        </w:trPr>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2" w:name="page3"/>
    <w:bookmarkEnd w:id="2"/>
    <w:p>
      <w:pPr>
        <w:ind w:left="524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20" w:type="dxa"/>
            <w:vAlign w:val="bottom"/>
          </w:tcPr>
          <w:p>
            <w:pPr>
              <w:ind w:left="1540"/>
              <w:spacing w:after="0"/>
              <w:rPr>
                <w:sz w:val="20"/>
                <w:szCs w:val="20"/>
                <w:color w:val="auto"/>
              </w:rPr>
            </w:pPr>
            <w:r>
              <w:rPr>
                <w:rFonts w:ascii="Times New Roman" w:cs="Times New Roman" w:eastAsia="Times New Roman" w:hAnsi="Times New Roman"/>
                <w:sz w:val="13"/>
                <w:szCs w:val="13"/>
                <w:b w:val="1"/>
                <w:bCs w:val="1"/>
                <w:color w:val="auto"/>
                <w:w w:val="98"/>
              </w:rPr>
              <w:t>UPBOUND GROUP, INC.</w:t>
            </w:r>
          </w:p>
        </w:tc>
        <w:tc>
          <w:tcPr>
            <w:tcW w:w="5020" w:type="dxa"/>
            <w:vAlign w:val="bottom"/>
          </w:tcPr>
          <w:p>
            <w:pPr>
              <w:spacing w:after="0"/>
              <w:rPr>
                <w:sz w:val="14"/>
                <w:szCs w:val="14"/>
                <w:color w:val="auto"/>
              </w:rPr>
            </w:pPr>
          </w:p>
        </w:tc>
      </w:tr>
      <w:tr>
        <w:trPr>
          <w:trHeight w:val="386"/>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2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February 23, 2023</w:t>
            </w:r>
          </w:p>
        </w:tc>
        <w:tc>
          <w:tcPr>
            <w:tcW w:w="3020" w:type="dxa"/>
            <w:vAlign w:val="bottom"/>
          </w:tcPr>
          <w:p>
            <w:pPr>
              <w:ind w:left="1540"/>
              <w:spacing w:after="0"/>
              <w:rPr>
                <w:sz w:val="20"/>
                <w:szCs w:val="20"/>
                <w:color w:val="auto"/>
              </w:rPr>
            </w:pPr>
            <w:r>
              <w:rPr>
                <w:rFonts w:ascii="Times New Roman" w:cs="Times New Roman" w:eastAsia="Times New Roman" w:hAnsi="Times New Roman"/>
                <w:sz w:val="13"/>
                <w:szCs w:val="13"/>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Bryan J. Pechersky</w:t>
            </w:r>
          </w:p>
        </w:tc>
      </w:tr>
      <w:tr>
        <w:trPr>
          <w:trHeight w:val="156"/>
        </w:trPr>
        <w:tc>
          <w:tcPr>
            <w:tcW w:w="4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Bryan J. Pechersky</w:t>
            </w:r>
          </w:p>
        </w:tc>
      </w:tr>
      <w:tr>
        <w:trPr>
          <w:trHeight w:val="180"/>
        </w:trPr>
        <w:tc>
          <w:tcPr>
            <w:tcW w:w="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Executive Vice President, General Counsel and Secretary</w:t>
            </w:r>
          </w:p>
        </w:tc>
      </w:tr>
    </w:tbl>
    <w:p>
      <w:pPr>
        <w:sectPr>
          <w:pgSz w:w="11900" w:h="16838" w:orient="portrait"/>
          <w:cols w:equalWidth="0" w:num="1">
            <w:col w:w="11280"/>
          </w:cols>
          <w:pgMar w:left="300" w:top="923"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jc w:val="center"/>
        <w:spacing w:after="0" w:line="234" w:lineRule="auto"/>
        <w:rPr>
          <w:sz w:val="20"/>
          <w:szCs w:val="20"/>
          <w:color w:val="auto"/>
        </w:rPr>
      </w:pPr>
      <w:r>
        <w:rPr>
          <w:rFonts w:ascii="Times New Roman" w:cs="Times New Roman" w:eastAsia="Times New Roman" w:hAnsi="Times New Roman"/>
          <w:sz w:val="17"/>
          <w:szCs w:val="17"/>
          <w:b w:val="1"/>
          <w:bCs w:val="1"/>
          <w:color w:val="auto"/>
        </w:rPr>
        <w:t>CERTIFICATE OF INCORPORATION</w:t>
      </w: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RENT-A-CENTER,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242 of the General Corporation Law of the State of Delaware)</w:t>
      </w:r>
    </w:p>
    <w:p>
      <w:pPr>
        <w:spacing w:after="0" w:line="200" w:lineRule="exact"/>
        <w:rPr>
          <w:sz w:val="20"/>
          <w:szCs w:val="20"/>
          <w:color w:val="auto"/>
        </w:rPr>
      </w:pPr>
    </w:p>
    <w:p>
      <w:pPr>
        <w:spacing w:after="0" w:line="262"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Rent-A-Center, Inc., a Delaware corporation duly organized and existing under the General Corporation Law of the State of Delaware (the “Corporation”), does hereby certify that:</w:t>
      </w:r>
    </w:p>
    <w:p>
      <w:pPr>
        <w:spacing w:after="0" w:line="49" w:lineRule="exact"/>
        <w:rPr>
          <w:sz w:val="20"/>
          <w:szCs w:val="20"/>
          <w:color w:val="auto"/>
        </w:rPr>
      </w:pPr>
    </w:p>
    <w:p>
      <w:pPr>
        <w:ind w:firstLine="1023"/>
        <w:spacing w:after="0" w:line="276" w:lineRule="auto"/>
        <w:tabs>
          <w:tab w:leader="none" w:pos="119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of the Corporation, as amended, is hereby amended solely to reflect a change in the name of the Corporation by deleting Article FIRST thereof and inserting the following in lieu thereof:</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“FIRST. The name of the corporation is Upbound Group, Inc.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w:t>
      </w:r>
    </w:p>
    <w:p>
      <w:pPr>
        <w:spacing w:after="0" w:line="190" w:lineRule="exact"/>
        <w:rPr>
          <w:sz w:val="20"/>
          <w:szCs w:val="20"/>
          <w:color w:val="auto"/>
        </w:rPr>
      </w:pPr>
    </w:p>
    <w:p>
      <w:pPr>
        <w:ind w:firstLine="1023"/>
        <w:spacing w:after="0" w:line="276"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Corporation has adopted a resolution approving and declaring advisable the amendment described herein in accordance with the provisions of Section 242(b)(1) of the General Corporation Law of the State of Delaware.</w:t>
      </w:r>
    </w:p>
    <w:p>
      <w:pPr>
        <w:spacing w:after="0" w:line="123" w:lineRule="exact"/>
        <w:rPr>
          <w:rFonts w:ascii="Times New Roman" w:cs="Times New Roman" w:eastAsia="Times New Roman" w:hAnsi="Times New Roman"/>
          <w:sz w:val="17"/>
          <w:szCs w:val="17"/>
          <w:color w:val="auto"/>
        </w:rPr>
      </w:pPr>
    </w:p>
    <w:p>
      <w:pPr>
        <w:ind w:left="1200" w:hanging="177"/>
        <w:spacing w:after="0"/>
        <w:tabs>
          <w:tab w:leader="none" w:pos="12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described herein has been duly adopted in accordance with Section 242 of the General Corporation Law of the State of Delaware.</w:t>
      </w:r>
    </w:p>
    <w:p>
      <w:pPr>
        <w:spacing w:after="0" w:line="175" w:lineRule="exact"/>
        <w:rPr>
          <w:rFonts w:ascii="Times New Roman" w:cs="Times New Roman" w:eastAsia="Times New Roman" w:hAnsi="Times New Roman"/>
          <w:sz w:val="17"/>
          <w:szCs w:val="17"/>
          <w:color w:val="auto"/>
        </w:rPr>
      </w:pPr>
    </w:p>
    <w:p>
      <w:pPr>
        <w:jc w:val="center"/>
        <w:ind w:left="1020" w:right="40" w:firstLine="3"/>
        <w:spacing w:after="0" w:line="516" w:lineRule="auto"/>
        <w:tabs>
          <w:tab w:leader="none" w:pos="119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Certificate of Amendment and the amendment contemplated hereby shall become effective at 12:01 a.m. Eastern time on February 22, 2023. IN WITNESS WHEREOF, the Corporation has caused this Certificate to be executed by its duly authorized officer on this 21st day of February, 2023.</w:t>
      </w:r>
    </w:p>
    <w:p>
      <w:pPr>
        <w:spacing w:after="0" w:line="1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RENT-A-CENTER, INC.</w:t>
      </w: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Bryan Pechersky</w:t>
      </w:r>
    </w:p>
    <w:p>
      <w:pPr>
        <w:spacing w:after="0" w:line="2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Name: Bryan Pechersky</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Title: Executive Vice President, General Counsel</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and Corporate Secretary</w:t>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320" w:right="100"/>
        <w:spacing w:after="0" w:line="309" w:lineRule="auto"/>
        <w:rPr>
          <w:sz w:val="20"/>
          <w:szCs w:val="20"/>
          <w:color w:val="auto"/>
        </w:rPr>
      </w:pPr>
      <w:r>
        <w:rPr>
          <w:rFonts w:ascii="Arial" w:cs="Arial" w:eastAsia="Arial" w:hAnsi="Arial"/>
          <w:sz w:val="25"/>
          <w:szCs w:val="25"/>
          <w:b w:val="1"/>
          <w:bCs w:val="1"/>
          <w:color w:val="auto"/>
        </w:rPr>
        <w:t>Rent-A-Center, Inc. Is Now Upbound Group, Inc., Advancing Its Mission to Elevate Financial Opportunity for All</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Upbound™ combines the Company’s capabilities and resources under a unified enterprise brand</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b w:val="1"/>
          <w:bCs w:val="1"/>
          <w:color w:val="auto"/>
        </w:rPr>
        <w:t xml:space="preserve">Plano, Texas--February 23, 2023 </w:t>
      </w:r>
      <w:r>
        <w:rPr>
          <w:rFonts w:ascii="Arial" w:cs="Arial" w:eastAsia="Arial" w:hAnsi="Arial"/>
          <w:sz w:val="15"/>
          <w:szCs w:val="15"/>
          <w:color w:val="auto"/>
        </w:rPr>
        <w:t>- Rent-A-Center, Inc., the ultimate parent entity for Rent-A-Center®, Acima® and other consumer brands, today announced it will now be</w:t>
      </w:r>
      <w:r>
        <w:rPr>
          <w:rFonts w:ascii="Arial" w:cs="Arial" w:eastAsia="Arial" w:hAnsi="Arial"/>
          <w:sz w:val="15"/>
          <w:szCs w:val="15"/>
          <w:b w:val="1"/>
          <w:bCs w:val="1"/>
          <w:color w:val="auto"/>
        </w:rPr>
        <w:t xml:space="preserve"> </w:t>
      </w:r>
      <w:r>
        <w:rPr>
          <w:rFonts w:ascii="Arial" w:cs="Arial" w:eastAsia="Arial" w:hAnsi="Arial"/>
          <w:sz w:val="15"/>
          <w:szCs w:val="15"/>
          <w:color w:val="auto"/>
        </w:rPr>
        <w:t>known as Upbound Group, Inc. (the “Company” or “Upbound”), an omni-channel platform company that enables a broader range of consumers to access flexible financial solutions. The Company will begin to trade under the ticker NASDAQ: UPBD starting on February 27</w:t>
      </w:r>
      <w:r>
        <w:rPr>
          <w:rFonts w:ascii="Arial" w:cs="Arial" w:eastAsia="Arial" w:hAnsi="Arial"/>
          <w:sz w:val="18"/>
          <w:szCs w:val="18"/>
          <w:color w:val="auto"/>
          <w:vertAlign w:val="superscript"/>
        </w:rPr>
        <w:t>th</w:t>
      </w:r>
      <w:r>
        <w:rPr>
          <w:rFonts w:ascii="Arial" w:cs="Arial" w:eastAsia="Arial" w:hAnsi="Arial"/>
          <w:sz w:val="15"/>
          <w:szCs w:val="15"/>
          <w:color w:val="auto"/>
        </w:rPr>
        <w:t>.</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“Two years ago, Rent-A-Center, Inc. closed on its acquisition of Acima Holdings, almost doubling the size of the Company and dramatically changing both organizations. We are now a unified, multi-brand platform company that includes more than just the Rent-A-Center business. We are thrilled to launch Upbound, a new enterprise brand and operating structure that will better serve our business and mission. This announcement is a significant milestone in our evolution and strategic plan, as we strive to offer more inclusive financial solutions that address the changing and growing needs of consumers,“ said Mitch Fadel, Chief Executive Officer, Upbound.</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As the corporate enterprise brand for all of the Company’s businesses, Upbound will provide strategic planning and shared services that will be leveraged across the organization to support and lead the development of innovative, inclusive, and technology-driven solutions that address the needs and aspirations of consumers. The Company will continue to go to market under its well-established operating brands, including Rent-A-Center, a 50-year-old lease-to-own retail channel with over 2,400 stores, and Acima, a leader in the third-party, virtual lease-to-own industry.</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“Upbound is more than a brand. It represents a new enterprise operating model to better capitalize on existing synergies and resources, execute commercial operations and cross-brand strategies, and innovate with existing and new products. Based on our experience and relationships with millions of our own customers, we have the data and analytics capabilities to offer them a broader set of financial solutions, including targeted credit and point-of-sale loan products. Upbound can help elevate our customers, providing them with greater access and a path towards financial flexibility,” concluded Mr. Fadel.</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about Upbound, visit www.Upbound.com</w:t>
      </w:r>
      <w:r>
        <w:rPr>
          <w:rFonts w:ascii="Arial" w:cs="Arial" w:eastAsia="Arial" w:hAnsi="Arial"/>
          <w:sz w:val="15"/>
          <w:szCs w:val="15"/>
          <w:color w:val="333333"/>
        </w:rPr>
        <w:t>.</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333333"/>
        </w:rPr>
        <w:t>About Upbound Group, Inc.</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Upbound Group, Inc. (effective February 27, 2023: NASDAQ: UPBD) is an omni-channel platform company committed to elevating financial opportunity for all through innovative, inclusive, and technology-driven financial solutions that address the evolving needs and aspirations of consumers. The Company’s customer-facing operating units include industry-leading brands such as Rent-A-Center® and Acima® that facilitate consumer transactions across a wide range</w:t>
      </w:r>
    </w:p>
    <w:p>
      <w:pPr>
        <w:sectPr>
          <w:pgSz w:w="11900" w:h="16838" w:orient="portrait"/>
          <w:cols w:equalWidth="0" w:num="1">
            <w:col w:w="11280"/>
          </w:cols>
          <w:pgMar w:left="300" w:top="129" w:right="319" w:bottom="1440" w:gutter="0" w:footer="0" w:header="0"/>
        </w:sectPr>
      </w:pPr>
    </w:p>
    <w:bookmarkStart w:id="28" w:name="page29"/>
    <w:bookmarkEnd w:id="28"/>
    <w:p>
      <w:pPr>
        <w:spacing w:after="0" w:line="13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of store-based and digital retail channels, including over 2,400 company branded retail units across the United States, Mexico and Puerto Rico. Upbound Group, Inc. is headquartered in Plano, Texas.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This release contains forward-looking statements within the meaning of the Private Securities Litigation Reform Act of 1995, including, among others, statements regarding future growth opportunities for the Company, potential synergies across the Company’s businesses, consumer trends, future product developments and other statements that are not historical facts. Such forward-looking statements generally can be identified by the use of forward-looking terminology such as "may," "will," "expect," "intend," "could," "estimate," "predict," "continue," "maintain," "should," "anticipate," "believe," or "confident," or the negative thereof or variations thereon or similar terminology. Such forward-looking statements are based on particular assumptions that our management has made in light of its experience and its perception of expected future developments and other factors that it believes are appropriate under the circumstances, and are subject to various risks and uncertainties. Factors that could cause or contribute to material and adverse differences between actual and anticipated results include, but are not limited to, the risks detailed from time to time in the reports filed by us with the SEC, including our most recently filed Annual Report on Form 10-K, as may be updated by reports on Form 10-Q or Form 8-K filed thereafter. You are cautioned not to place undue reliance on forward-looking statements, which speak only as of the date of this release. Except as required by law, we are not obligated to, and do not undertake to, publicly release any revisions to these forward-looking statements to reflect any events or circumstances after the date hereof or to reflect the occurrence of unanticipated events.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Brendan Metrano</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VP,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972-801-1280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brendan.metrano@rentacenter.com</w:t>
      </w:r>
    </w:p>
    <w:sectPr>
      <w:pgSz w:w="11900" w:h="16838" w:orient="portrait"/>
      <w:cols w:equalWidth="0" w:num="1">
        <w:col w:w="11280"/>
      </w:cols>
      <w:pgMar w:left="30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2023-02-23T07:48:20Z</dcterms:created>
  <dcterms:modified xsi:type="dcterms:W3CDTF">2023-02-23T07:48:20Z</dcterms:modified>
</cp:coreProperties>
</file>