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2002155</wp:posOffset>
            </wp:positionH>
            <wp:positionV relativeFrom="paragraph">
              <wp:posOffset>304165</wp:posOffset>
            </wp:positionV>
            <wp:extent cx="31375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5"/>
          <w:szCs w:val="25"/>
          <w:b w:val="1"/>
          <w:bCs w:val="1"/>
          <w:color w:val="auto"/>
        </w:rPr>
        <w:t>FORM 11-K</w:t>
      </w:r>
    </w:p>
    <w:p>
      <w:pPr>
        <w:spacing w:after="0" w:line="25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FOR ANNUAL REPORTS OF EMPLOYEE STOCK</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PURCHASE SAVINGS AND SIMILAR PLANS</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SECTION 15(d) OF THE</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One):</w:t>
      </w:r>
    </w:p>
    <w:p>
      <w:pPr>
        <w:spacing w:after="0" w:line="14"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ANNUAL REPORT PURSUANT TO SECTION 15(d) OF THE SECURITIES EXCHANGE ACT OF 1934</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For the fiscal year ended December 31, 2025</w:t>
      </w:r>
    </w:p>
    <w:p>
      <w:pPr>
        <w:spacing w:after="0" w:line="206"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22"/>
          <w:szCs w:val="22"/>
          <w:color w:val="auto"/>
        </w:rPr>
        <w:t>OR</w:t>
      </w:r>
    </w:p>
    <w:p>
      <w:pPr>
        <w:spacing w:after="0" w:line="233"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TRANSITION REPORT PURSUANT TO SECTION 15(d) OF THE SECURITIES EXCHANGE ACT OF 1934</w:t>
      </w:r>
    </w:p>
    <w:p>
      <w:pPr>
        <w:spacing w:after="0" w:line="235" w:lineRule="exact"/>
        <w:rPr>
          <w:sz w:val="24"/>
          <w:szCs w:val="24"/>
          <w:color w:val="auto"/>
        </w:rPr>
      </w:pPr>
    </w:p>
    <w:tbl>
      <w:tblPr>
        <w:tblLayout w:type="fixed"/>
        <w:tblInd w:w="760" w:type="dxa"/>
        <w:tblCellMar>
          <w:top w:w="0" w:type="dxa"/>
          <w:left w:w="0" w:type="dxa"/>
          <w:bottom w:w="0" w:type="dxa"/>
          <w:right w:w="0" w:type="dxa"/>
        </w:tblCellMar>
      </w:tblPr>
      <w:tr>
        <w:trPr>
          <w:trHeight w:val="253"/>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w w:val="99"/>
              </w:rPr>
              <w:t>For the transition period from</w:t>
            </w:r>
          </w:p>
        </w:tc>
        <w:tc>
          <w:tcPr>
            <w:tcW w:w="1340" w:type="dxa"/>
            <w:vAlign w:val="bottom"/>
            <w:tcBorders>
              <w:bottom w:val="single" w:sz="8" w:color="auto"/>
            </w:tcBorders>
          </w:tcPr>
          <w:p>
            <w:pPr>
              <w:spacing w:after="0"/>
              <w:rPr>
                <w:sz w:val="21"/>
                <w:szCs w:val="21"/>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to</w:t>
            </w:r>
          </w:p>
        </w:tc>
        <w:tc>
          <w:tcPr>
            <w:tcW w:w="1300" w:type="dxa"/>
            <w:vAlign w:val="bottom"/>
            <w:tcBorders>
              <w:bottom w:val="single" w:sz="8" w:color="auto"/>
            </w:tcBorders>
          </w:tcPr>
          <w:p>
            <w:pPr>
              <w:spacing w:after="0"/>
              <w:rPr>
                <w:sz w:val="21"/>
                <w:szCs w:val="21"/>
                <w:color w:val="auto"/>
              </w:rPr>
            </w:pPr>
          </w:p>
        </w:tc>
        <w:tc>
          <w:tcPr>
            <w:tcW w:w="920" w:type="dxa"/>
            <w:vAlign w:val="bottom"/>
          </w:tcPr>
          <w:p>
            <w:pPr>
              <w:spacing w:after="0"/>
              <w:rPr>
                <w:sz w:val="21"/>
                <w:szCs w:val="21"/>
                <w:color w:val="auto"/>
              </w:rPr>
            </w:pPr>
          </w:p>
        </w:tc>
      </w:tr>
      <w:tr>
        <w:trPr>
          <w:trHeight w:val="491"/>
        </w:trPr>
        <w:tc>
          <w:tcPr>
            <w:tcW w:w="2620" w:type="dxa"/>
            <w:vAlign w:val="bottom"/>
          </w:tcPr>
          <w:p>
            <w:pPr>
              <w:spacing w:after="0"/>
              <w:rPr>
                <w:sz w:val="24"/>
                <w:szCs w:val="24"/>
                <w:color w:val="auto"/>
              </w:rPr>
            </w:pPr>
          </w:p>
        </w:tc>
        <w:tc>
          <w:tcPr>
            <w:tcW w:w="3840" w:type="dxa"/>
            <w:vAlign w:val="bottom"/>
            <w:gridSpan w:val="4"/>
          </w:tcPr>
          <w:p>
            <w:pPr>
              <w:ind w:left="640"/>
              <w:spacing w:after="0"/>
              <w:rPr>
                <w:sz w:val="20"/>
                <w:szCs w:val="20"/>
                <w:color w:val="auto"/>
              </w:rPr>
            </w:pPr>
            <w:r>
              <w:rPr>
                <w:rFonts w:ascii="Times New Roman" w:cs="Times New Roman" w:eastAsia="Times New Roman" w:hAnsi="Times New Roman"/>
                <w:sz w:val="22"/>
                <w:szCs w:val="22"/>
                <w:color w:val="auto"/>
                <w:w w:val="97"/>
              </w:rPr>
              <w:t xml:space="preserve">Commission file number: </w:t>
            </w:r>
            <w:r>
              <w:rPr>
                <w:rFonts w:ascii="Times New Roman" w:cs="Times New Roman" w:eastAsia="Times New Roman" w:hAnsi="Times New Roman"/>
                <w:sz w:val="22"/>
                <w:szCs w:val="22"/>
                <w:b w:val="1"/>
                <w:bCs w:val="1"/>
                <w:color w:val="auto"/>
                <w:w w:val="97"/>
              </w:rPr>
              <w:t>001-38047</w:t>
            </w:r>
          </w:p>
        </w:tc>
      </w:tr>
    </w:tbl>
    <w:p>
      <w:pPr>
        <w:spacing w:after="0" w:line="177"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22"/>
          <w:szCs w:val="22"/>
          <w:color w:val="auto"/>
        </w:rPr>
        <w:t>A. Full title of the plan and the address of the plan, if different from that of the issuer named below:</w:t>
      </w:r>
    </w:p>
    <w:p>
      <w:pPr>
        <w:spacing w:after="0" w:line="20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Rent-A-Center East, Inc. Retirement Savings Plan for Puerto Rico Employees</w:t>
      </w:r>
    </w:p>
    <w:p>
      <w:pPr>
        <w:spacing w:after="0" w:line="21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B. Name of issuer of the securities held pursuant to the plan and the address of its principal executive office:</w:t>
      </w:r>
    </w:p>
    <w:p>
      <w:pPr>
        <w:spacing w:after="0" w:line="20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Upbound Group, Inc.</w:t>
      </w:r>
    </w:p>
    <w:p>
      <w:pPr>
        <w:spacing w:after="0" w:line="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5501 Headquarters Drive</w:t>
      </w:r>
    </w:p>
    <w:p>
      <w:pPr>
        <w:ind w:left="1500"/>
        <w:spacing w:after="0"/>
        <w:rPr>
          <w:sz w:val="20"/>
          <w:szCs w:val="20"/>
          <w:color w:val="auto"/>
        </w:rPr>
      </w:pPr>
      <w:r>
        <w:rPr>
          <w:rFonts w:ascii="Times New Roman" w:cs="Times New Roman" w:eastAsia="Times New Roman" w:hAnsi="Times New Roman"/>
          <w:sz w:val="22"/>
          <w:szCs w:val="22"/>
          <w:b w:val="1"/>
          <w:bCs w:val="1"/>
          <w:color w:val="auto"/>
        </w:rPr>
        <w:t>Plano, Texas 75024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440" w:right="9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39"/>
        <w:spacing w:after="0" w:line="417" w:lineRule="auto"/>
        <w:rPr>
          <w:sz w:val="20"/>
          <w:szCs w:val="20"/>
          <w:color w:val="auto"/>
        </w:rPr>
      </w:pPr>
      <w:r>
        <w:rPr>
          <w:rFonts w:ascii="Times New Roman" w:cs="Times New Roman" w:eastAsia="Times New Roman" w:hAnsi="Times New Roman"/>
          <w:sz w:val="25"/>
          <w:szCs w:val="25"/>
          <w:color w:val="auto"/>
        </w:rPr>
        <w:t xml:space="preserve">Financial Statements and Report of Independent Registered Public Accounting Firm </w:t>
      </w:r>
      <w:r>
        <w:rPr>
          <w:rFonts w:ascii="Times New Roman" w:cs="Times New Roman" w:eastAsia="Times New Roman" w:hAnsi="Times New Roman"/>
          <w:sz w:val="25"/>
          <w:szCs w:val="25"/>
          <w:b w:val="1"/>
          <w:bCs w:val="1"/>
          <w:color w:val="auto"/>
        </w:rPr>
        <w:t xml:space="preserve">Rent-A-Center East, Inc. Retirement Savings Plan for Puerto Rico Employees </w:t>
      </w:r>
      <w:r>
        <w:rPr>
          <w:rFonts w:ascii="Times New Roman" w:cs="Times New Roman" w:eastAsia="Times New Roman" w:hAnsi="Times New Roman"/>
          <w:sz w:val="25"/>
          <w:szCs w:val="25"/>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79" w:lineRule="exact"/>
        <w:rPr>
          <w:sz w:val="20"/>
          <w:szCs w:val="20"/>
          <w:color w:val="auto"/>
        </w:rPr>
      </w:pPr>
    </w:p>
    <w:p>
      <w:pPr>
        <w:ind w:right="5060"/>
        <w:spacing w:after="0" w:line="259" w:lineRule="auto"/>
        <w:rPr>
          <w:sz w:val="20"/>
          <w:szCs w:val="20"/>
          <w:color w:val="auto"/>
        </w:rPr>
      </w:pPr>
      <w:r>
        <w:rPr>
          <w:rFonts w:ascii="Times New Roman" w:cs="Times New Roman" w:eastAsia="Times New Roman" w:hAnsi="Times New Roman"/>
          <w:sz w:val="20"/>
          <w:szCs w:val="20"/>
          <w:color w:val="auto"/>
        </w:rPr>
        <w:t>Governance Committee and Plan Participants Rent-A-Center East, Inc. Retirement Savings Plan for Puerto Rico Employees Plano, Texas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We have audited the accompanying statements of net assets available for benefits of the Rent-A-Center East, Inc. Retirement Savings Plan for Puerto Rico Employees (the Plan) as of December 31, 2025 and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20"/>
          <w:szCs w:val="20"/>
          <w:color w:val="auto"/>
        </w:rPr>
        <w:t xml:space="preserve">, and the related statement of changes in net assets available for benefits for the year ended December 31, 2025, and the related notes and schedules (collectively referred to as the financial statements). In our opinion, the financial statements present fairly, in all material respects, the net assets available for benefits of the Plan as of December 31, 2025 and </w:t>
      </w:r>
      <w:r>
        <w:rPr>
          <w:rFonts w:ascii="Times New Roman" w:cs="Times New Roman" w:eastAsia="Times New Roman" w:hAnsi="Times New Roman"/>
          <w:sz w:val="17"/>
          <w:szCs w:val="17"/>
          <w:color w:val="auto"/>
        </w:rPr>
        <w:t>2024</w:t>
      </w:r>
      <w:r>
        <w:rPr>
          <w:rFonts w:ascii="Times New Roman" w:cs="Times New Roman" w:eastAsia="Times New Roman" w:hAnsi="Times New Roman"/>
          <w:sz w:val="20"/>
          <w:szCs w:val="20"/>
          <w:color w:val="auto"/>
        </w:rPr>
        <w:t>, and the changes in net assets available for benefits for the year ended December 31, 2025, in conformity with accounting principles generally accepted in the United States of America.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Plan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Exchange Commission and the PCAOB.</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Information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supplemental information in the accompanying schedule of assets (held at end of year) as of December 31, 2025 has been subjected to audit procedures performed in conjunction with the audit of the Plan's financial statements. The supplemental information is the responsibility of Plan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Weaver and Tidwell,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WEAVER AND TIDWELL,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TX</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Rent-A-Center East, Inc. Retirement Savings Plan for Puerto Rico Employees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STATEMENTS OF NET ASSETS AVAILABLE FOR BENEFITS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As of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60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Mutual funds</w:t>
            </w:r>
          </w:p>
        </w:tc>
        <w:tc>
          <w:tcPr>
            <w:tcW w:w="20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5,081,043</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4,378,890</w:t>
            </w:r>
          </w:p>
        </w:tc>
      </w:tr>
      <w:tr>
        <w:trPr>
          <w:trHeight w:val="216"/>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158,210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340,098</w:t>
            </w:r>
          </w:p>
        </w:tc>
      </w:tr>
      <w:tr>
        <w:trPr>
          <w:trHeight w:val="216"/>
        </w:trPr>
        <w:tc>
          <w:tcPr>
            <w:tcW w:w="60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Money market deposit account</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1,818</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2,471</w:t>
            </w:r>
          </w:p>
        </w:tc>
      </w:tr>
      <w:tr>
        <w:trPr>
          <w:trHeight w:val="216"/>
        </w:trPr>
        <w:tc>
          <w:tcPr>
            <w:tcW w:w="6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Stable value fund</w:t>
            </w:r>
          </w:p>
        </w:tc>
        <w:tc>
          <w:tcPr>
            <w:tcW w:w="1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450,900</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365,923</w:t>
            </w: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5,691,971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5,087,382</w:t>
            </w:r>
          </w:p>
        </w:tc>
      </w:tr>
      <w:tr>
        <w:trPr>
          <w:trHeight w:val="216"/>
        </w:trPr>
        <w:tc>
          <w:tcPr>
            <w:tcW w:w="6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6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11,059</w:t>
            </w:r>
          </w:p>
        </w:tc>
      </w:tr>
      <w:tr>
        <w:trPr>
          <w:trHeight w:val="216"/>
        </w:trPr>
        <w:tc>
          <w:tcPr>
            <w:tcW w:w="6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5,222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4,928</w:t>
            </w:r>
          </w:p>
        </w:tc>
      </w:tr>
      <w:tr>
        <w:trPr>
          <w:trHeight w:val="216"/>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1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589,983</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580,640</w:t>
            </w:r>
          </w:p>
        </w:tc>
      </w:tr>
      <w:tr>
        <w:trPr>
          <w:trHeight w:val="21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607,289</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596,627</w:t>
            </w:r>
          </w:p>
        </w:tc>
      </w:tr>
      <w:tr>
        <w:trPr>
          <w:trHeight w:val="216"/>
        </w:trPr>
        <w:tc>
          <w:tcPr>
            <w:tcW w:w="6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6,299,291</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5,684,072</w:t>
            </w:r>
          </w:p>
        </w:tc>
      </w:tr>
      <w:tr>
        <w:trPr>
          <w:trHeight w:val="216"/>
        </w:trPr>
        <w:tc>
          <w:tcPr>
            <w:tcW w:w="6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040" w:type="dxa"/>
            <w:vAlign w:val="bottom"/>
            <w:shd w:val="clear" w:color="auto" w:fill="CFF0FC"/>
          </w:tcPr>
          <w:p>
            <w:pPr>
              <w:ind w:left="32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Corrective distributions</w:t>
            </w:r>
          </w:p>
        </w:tc>
        <w:tc>
          <w:tcPr>
            <w:tcW w:w="1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20,127</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15,973</w:t>
            </w:r>
          </w:p>
        </w:tc>
      </w:tr>
      <w:tr>
        <w:trPr>
          <w:trHeight w:val="209"/>
        </w:trPr>
        <w:tc>
          <w:tcPr>
            <w:tcW w:w="60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20,127</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15,973</w:t>
            </w:r>
          </w:p>
        </w:tc>
      </w:tr>
      <w:tr>
        <w:trPr>
          <w:trHeight w:val="216"/>
        </w:trPr>
        <w:tc>
          <w:tcPr>
            <w:tcW w:w="6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30"/>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AVAILABLE FOR BENEFITS</w:t>
            </w:r>
          </w:p>
        </w:tc>
        <w:tc>
          <w:tcPr>
            <w:tcW w:w="17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6,279,164</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5,668,099</w:t>
            </w: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Rent-A-Center East, Inc. Retirement Savings Plan for Puerto Rico Employees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For the year ended December 31, 2025</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Additions to net assets available for benefits attributable to:</w:t>
            </w:r>
          </w:p>
        </w:tc>
        <w:tc>
          <w:tcPr>
            <w:tcW w:w="6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income</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2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Dividends</w:t>
            </w: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191,645</w:t>
            </w:r>
          </w:p>
        </w:tc>
      </w:tr>
      <w:tr>
        <w:trPr>
          <w:trHeight w:val="216"/>
        </w:trPr>
        <w:tc>
          <w:tcPr>
            <w:tcW w:w="9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358,174</w:t>
            </w:r>
          </w:p>
        </w:tc>
      </w:tr>
      <w:tr>
        <w:trPr>
          <w:trHeight w:val="209"/>
        </w:trPr>
        <w:tc>
          <w:tcPr>
            <w:tcW w:w="9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investment income</w:t>
            </w:r>
          </w:p>
        </w:tc>
        <w:tc>
          <w:tcPr>
            <w:tcW w:w="6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549,819</w:t>
            </w:r>
          </w:p>
        </w:tc>
      </w:tr>
      <w:tr>
        <w:trPr>
          <w:trHeight w:val="216"/>
        </w:trPr>
        <w:tc>
          <w:tcPr>
            <w:tcW w:w="9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6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45,992</w:t>
            </w:r>
          </w:p>
        </w:tc>
      </w:tr>
      <w:tr>
        <w:trPr>
          <w:trHeight w:val="216"/>
        </w:trPr>
        <w:tc>
          <w:tcPr>
            <w:tcW w:w="9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Contributions</w:t>
            </w:r>
          </w:p>
        </w:tc>
        <w:tc>
          <w:tcPr>
            <w:tcW w:w="6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92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Participants</w:t>
            </w:r>
          </w:p>
        </w:tc>
        <w:tc>
          <w:tcPr>
            <w:tcW w:w="6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440,541</w:t>
            </w:r>
          </w:p>
        </w:tc>
      </w:tr>
      <w:tr>
        <w:trPr>
          <w:trHeight w:val="216"/>
        </w:trPr>
        <w:tc>
          <w:tcPr>
            <w:tcW w:w="92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Employer</w:t>
            </w:r>
          </w:p>
        </w:tc>
        <w:tc>
          <w:tcPr>
            <w:tcW w:w="6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184,464</w:t>
            </w:r>
          </w:p>
        </w:tc>
      </w:tr>
      <w:tr>
        <w:trPr>
          <w:trHeight w:val="210"/>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contributions</w:t>
            </w:r>
          </w:p>
        </w:tc>
        <w:tc>
          <w:tcPr>
            <w:tcW w:w="6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625,005</w:t>
            </w:r>
          </w:p>
        </w:tc>
      </w:tr>
      <w:tr>
        <w:trPr>
          <w:trHeight w:val="216"/>
        </w:trPr>
        <w:tc>
          <w:tcPr>
            <w:tcW w:w="9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r>
      <w:tr>
        <w:trPr>
          <w:trHeight w:val="209"/>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additions</w:t>
            </w: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1,220,816</w:t>
            </w:r>
          </w:p>
        </w:tc>
      </w:tr>
      <w:tr>
        <w:trPr>
          <w:trHeight w:val="210"/>
        </w:trPr>
        <w:tc>
          <w:tcPr>
            <w:tcW w:w="9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Deductions from net assets available for benefits attributed to:</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6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600,840</w:t>
            </w:r>
          </w:p>
        </w:tc>
      </w:tr>
      <w:tr>
        <w:trPr>
          <w:trHeight w:val="216"/>
        </w:trPr>
        <w:tc>
          <w:tcPr>
            <w:tcW w:w="9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8,911</w:t>
            </w:r>
          </w:p>
        </w:tc>
      </w:tr>
      <w:tr>
        <w:trPr>
          <w:trHeight w:val="21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deductions</w:t>
            </w:r>
          </w:p>
        </w:tc>
        <w:tc>
          <w:tcPr>
            <w:tcW w:w="6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609,751</w:t>
            </w:r>
          </w:p>
        </w:tc>
      </w:tr>
      <w:tr>
        <w:trPr>
          <w:trHeight w:val="209"/>
        </w:trPr>
        <w:tc>
          <w:tcPr>
            <w:tcW w:w="9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in net assets available for benefits</w:t>
            </w:r>
          </w:p>
        </w:tc>
        <w:tc>
          <w:tcPr>
            <w:tcW w:w="6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611,065</w:t>
            </w:r>
          </w:p>
        </w:tc>
      </w:tr>
      <w:tr>
        <w:trPr>
          <w:trHeight w:val="216"/>
        </w:trPr>
        <w:tc>
          <w:tcPr>
            <w:tcW w:w="9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6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of year</w:t>
            </w:r>
          </w:p>
        </w:tc>
        <w:tc>
          <w:tcPr>
            <w:tcW w:w="6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5,668,099</w:t>
            </w:r>
          </w:p>
        </w:tc>
      </w:tr>
      <w:tr>
        <w:trPr>
          <w:trHeight w:val="249"/>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End of year</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6,279,164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Rent-A-Center East, Inc. Retirement Savings Plan for Puerto Rico Employees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 - PLAN DESCRIPTION AND BENEFITS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General</w:t>
      </w:r>
    </w:p>
    <w:p>
      <w:pPr>
        <w:spacing w:after="0" w:line="189" w:lineRule="exact"/>
        <w:rPr>
          <w:sz w:val="20"/>
          <w:szCs w:val="20"/>
          <w:color w:val="auto"/>
        </w:rPr>
      </w:pPr>
    </w:p>
    <w:p>
      <w:pPr>
        <w:jc w:val="both"/>
        <w:ind w:left="280" w:right="20"/>
        <w:spacing w:after="0" w:line="269" w:lineRule="auto"/>
        <w:rPr>
          <w:sz w:val="20"/>
          <w:szCs w:val="20"/>
          <w:color w:val="auto"/>
        </w:rPr>
      </w:pPr>
      <w:r>
        <w:rPr>
          <w:rFonts w:ascii="Times New Roman" w:cs="Times New Roman" w:eastAsia="Times New Roman" w:hAnsi="Times New Roman"/>
          <w:sz w:val="20"/>
          <w:szCs w:val="20"/>
          <w:color w:val="auto"/>
        </w:rPr>
        <w:t>The following description of the Rent-A-Center East, Inc. Retirement Savings Plan for Puerto Rico Employees (the “Plan”) provides only general information. Participants should refer to the Plan document for a more complete description of the Plan’s provisions.</w:t>
      </w:r>
    </w:p>
    <w:p>
      <w:pPr>
        <w:spacing w:after="0" w:line="119" w:lineRule="exact"/>
        <w:rPr>
          <w:sz w:val="20"/>
          <w:szCs w:val="20"/>
          <w:color w:val="auto"/>
        </w:rPr>
      </w:pPr>
    </w:p>
    <w:p>
      <w:pPr>
        <w:jc w:val="both"/>
        <w:ind w:left="280"/>
        <w:spacing w:after="0" w:line="246" w:lineRule="auto"/>
        <w:rPr>
          <w:sz w:val="20"/>
          <w:szCs w:val="20"/>
          <w:color w:val="auto"/>
        </w:rPr>
      </w:pPr>
      <w:r>
        <w:rPr>
          <w:rFonts w:ascii="Times New Roman" w:cs="Times New Roman" w:eastAsia="Times New Roman" w:hAnsi="Times New Roman"/>
          <w:sz w:val="20"/>
          <w:szCs w:val="20"/>
          <w:color w:val="auto"/>
        </w:rPr>
        <w:t>The Plan was originally effective January 1, 2010, has been amended and restated throughout the years, and was most recently amended effective January 1, 2026 to update the Plan policies for Company match and participant investment in Company securities as described below. The Plan is a defined contribution plan covering all Puerto Rico employees of Rent-A-Center East, Inc. (the “Company” or “Plan Sponsor”) who have completed three months of service. The Plan is subject to the provisions of the Employee Retirement Income Security Act of 1974, as amended.</w:t>
      </w:r>
    </w:p>
    <w:p>
      <w:pPr>
        <w:spacing w:after="0" w:line="144" w:lineRule="exact"/>
        <w:rPr>
          <w:sz w:val="20"/>
          <w:szCs w:val="20"/>
          <w:color w:val="auto"/>
        </w:rPr>
      </w:pPr>
    </w:p>
    <w:p>
      <w:pPr>
        <w:jc w:val="both"/>
        <w:ind w:left="280"/>
        <w:spacing w:after="0" w:line="245" w:lineRule="auto"/>
        <w:rPr>
          <w:sz w:val="20"/>
          <w:szCs w:val="20"/>
          <w:color w:val="auto"/>
        </w:rPr>
      </w:pPr>
      <w:r>
        <w:rPr>
          <w:rFonts w:ascii="Times New Roman" w:cs="Times New Roman" w:eastAsia="Times New Roman" w:hAnsi="Times New Roman"/>
          <w:sz w:val="20"/>
          <w:szCs w:val="20"/>
          <w:color w:val="auto"/>
        </w:rPr>
        <w:t>The Company serves as the Plan Sponsor and is responsible for all administrative duties described in the Plan document. Additionally, the Plan is governed by the Plan Administrative Committee of the Company, which monitors and determines the Plan’s structure, participant demographics, investment offerings and performance, and other administrative issues. Prior to January 1, 2026, INTRUST Bank, N.A. (“INTRUST”), was the custodian, NestEgg Consulting Inc. (“NestEgg”), an affiliate of INTRUST, was the recordkeeper and Banco Popular De Puerto Rico was the trustee of the Plan. Beginning January 1, 2026, Fidelity Workplace Services LLC (“FWS”) became the recordkeeper and Fidelity Management Trust Company (“Fidelity”) became the trustee of the Plan.</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Contributions</w:t>
      </w:r>
    </w:p>
    <w:p>
      <w:pPr>
        <w:spacing w:after="0" w:line="175" w:lineRule="exact"/>
        <w:rPr>
          <w:sz w:val="20"/>
          <w:szCs w:val="20"/>
          <w:color w:val="auto"/>
        </w:rPr>
      </w:pPr>
    </w:p>
    <w:p>
      <w:pPr>
        <w:jc w:val="both"/>
        <w:ind w:left="280"/>
        <w:spacing w:after="0" w:line="243" w:lineRule="auto"/>
        <w:rPr>
          <w:sz w:val="20"/>
          <w:szCs w:val="20"/>
          <w:color w:val="auto"/>
        </w:rPr>
      </w:pPr>
      <w:r>
        <w:rPr>
          <w:rFonts w:ascii="Times New Roman" w:cs="Times New Roman" w:eastAsia="Times New Roman" w:hAnsi="Times New Roman"/>
          <w:sz w:val="20"/>
          <w:szCs w:val="20"/>
          <w:color w:val="auto"/>
        </w:rPr>
        <w:t>The Plan permits participants to defer, on a pre-tax basis, up to 50% of their annual compensation, as defined under the Plan. These deferrals are not to exceed $23,500 of their annual compensation (plus a $7,500 catch-up deferral for employees over 50 years of age) for 2025. Participants may also contribute amounts representing rollovers from other qualified defined benefit or defined contribution plans. The Company made matching contributions equal to $0.50 for each $1.00 on the first 6% of eligible employee compensation in 2025. The Company, at its sole discretion, may make a profit sharing contribution at the end of each Plan year. The Company did not make a profit sharing contribution for the Plan year ended December 31, 2025. Beginning January 1, 2026, the Company will make matching contributions equal to $1.00 for each $1.00 on the first 3% of eligible employee compensation and $0.50 for each $1.00 of the next 2% of eligible employee compensation.</w:t>
      </w:r>
    </w:p>
    <w:p>
      <w:pPr>
        <w:spacing w:after="0" w:line="1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Participant Accounts</w:t>
      </w:r>
    </w:p>
    <w:p>
      <w:pPr>
        <w:spacing w:after="0" w:line="189" w:lineRule="exact"/>
        <w:rPr>
          <w:sz w:val="20"/>
          <w:szCs w:val="20"/>
          <w:color w:val="auto"/>
        </w:rPr>
      </w:pPr>
    </w:p>
    <w:p>
      <w:pPr>
        <w:jc w:val="both"/>
        <w:ind w:left="280"/>
        <w:spacing w:after="0" w:line="249" w:lineRule="auto"/>
        <w:rPr>
          <w:sz w:val="20"/>
          <w:szCs w:val="20"/>
          <w:color w:val="auto"/>
        </w:rPr>
      </w:pPr>
      <w:r>
        <w:rPr>
          <w:rFonts w:ascii="Times New Roman" w:cs="Times New Roman" w:eastAsia="Times New Roman" w:hAnsi="Times New Roman"/>
          <w:sz w:val="20"/>
          <w:szCs w:val="20"/>
          <w:color w:val="auto"/>
        </w:rPr>
        <w:t>Each participant’s account is credited with the participant’s contributions, Company’s matching contributions and Plan earnings or losses and charged with an allocation of administrative expenses. Allocations are based on participant earnings or account balances, as defined in the Plan document. The benefit to which a participant is entitled is the benefit that can be provided from the participant’s vested account.</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u w:val="single" w:color="auto"/>
          <w:color w:val="auto"/>
        </w:rPr>
        <w:t>Eligibility and Vesting</w:t>
      </w:r>
    </w:p>
    <w:p>
      <w:pPr>
        <w:spacing w:after="0" w:line="175"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Company employees are eligible to participate in the Plan after 90 days of employment. Participants immediately vest in their salary deferral contributions to the Plan plus allocated earnings thereon. Participants are vested in Company matching and profit sharing contributions and allocated earnings after two or more years of vesting service as defined by the Plan. Additionally, a participant becomes 100% vested if employment is terminated due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 w:name="page8"/>
    <w:bookmarkEnd w:id="7"/>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Rent-A-Center East, Inc. Retirement Savings Plan for Puerto Rico Employees</w:t>
      </w:r>
    </w:p>
    <w:p>
      <w:pPr>
        <w:spacing w:after="0" w:line="17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9"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20"/>
          <w:szCs w:val="20"/>
          <w:color w:val="auto"/>
        </w:rPr>
        <w:t>to death or full and permanent disability. Beginning January 1, 2026, Participants will immediately vest in Company matching and profit sharing contributions and allocated earnings made in 2026.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Forfeitures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Upon termination of employment, a participant’s unvested account balance forfeits to the Plan. These forfeitures, and forfeitures related to corrections of matching contributions resulting from discrimination testing corrections are to be used to pay restoration contributions, replace abandoned accounts, or offset employer contributions as defined in the Plan document. The balance of forfeited nonvested accounts to be used in future periods totaled approximately $1,800 and $2,500 as of December 31, 2025 and 2024, respectively.</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Benefits</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Upon retirement, death, disability, or separation from service, a participant (or the participant’s beneficiary, if applicable) will receive a lump sum amount equal to the value of the participant’s vested interest in the participant’s account, or to the extent a participant’s or beneficiary’s account is invested in at least five whole shares of Upbound Group, Inc. common stock, the participant or beneficiary may elect to receive a distribution in whole shares of such stock, rather than in cash. The Plan allows participants to make hardship withdrawals, subject to certain limitations, as defined in the Plan document, and further modified for provisions included in the Bipartisan Budget Act of 2018. As of December 31, 2025 and 2024, the Plan had no unpaid benefits payable for withdrawals that had been elected but not yet paid.</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Investments in Company Securities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Plan participants may elect to invest contributions in Upbound Group, Inc. common stock but are limited to 10% of their elected deferrals. In addition, a participant’s total invested balance in Upbound Group, Inc. common stock may not exceed 50% of the total value of their account balance. Beginning January 1, 2026, Plan participants may no longer make future investment contributions in Upbound Group, Inc.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Notes Receivable from Participants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Participants may be granted loans from their fund accounts secured by their account balances. The limitation on the amount that can be borrowed at any time is the lesser of $50,000 or 50% of the participant’s vested account balance; the minimum loan amount is $500. The repayment period of the loan cannot exceed five years, except for loans relating to the purchase of a primary residence for which the repayment period is fifteen years. The notes are secured by the balance in the participant’s account and bear interest at the prime rate fixed as of the borrowing date. Principal and interest is paid ratably through payroll deductions. Interest rates on such loans range from 3.25% to 8.5% at December 31, 2025. Participant loans have various maturity dates ranging from 2026 to 2030.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Excess Contributions Payable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Amounts payable to participants for contributions in excess of amounts allowed by the Departamento de Hacienda are recorded as a liability with a corresponding reduction to contributions. The plan distributed the 2025 and 2024 excess contribution to the applicable participants prior to March 15 of the related subsequent year.</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Termination of the Plan</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While the Company has not expressed any intent to discontinue the Plan, it may, by action of its Board of Directors, terminate the Plan. In the event the Plan is terminated, the participants become 100% vested in their accounts.</w:t>
      </w:r>
    </w:p>
    <w:p>
      <w:pPr>
        <w:spacing w:after="0" w:line="29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224155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600" w:top="54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Rent-A-Center East, Inc. Retirement Savings Plan for Puerto Rico Employees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Administrative Expenses</w:t>
      </w:r>
    </w:p>
    <w:p>
      <w:pPr>
        <w:spacing w:after="0" w:line="189" w:lineRule="exact"/>
        <w:rPr>
          <w:sz w:val="20"/>
          <w:szCs w:val="20"/>
          <w:color w:val="auto"/>
        </w:rPr>
      </w:pPr>
    </w:p>
    <w:p>
      <w:pPr>
        <w:jc w:val="both"/>
        <w:ind w:left="280"/>
        <w:spacing w:after="0" w:line="274" w:lineRule="auto"/>
        <w:rPr>
          <w:sz w:val="20"/>
          <w:szCs w:val="20"/>
          <w:color w:val="auto"/>
        </w:rPr>
      </w:pPr>
      <w:r>
        <w:rPr>
          <w:rFonts w:ascii="Times New Roman" w:cs="Times New Roman" w:eastAsia="Times New Roman" w:hAnsi="Times New Roman"/>
          <w:sz w:val="19"/>
          <w:szCs w:val="19"/>
          <w:color w:val="auto"/>
        </w:rPr>
        <w:t>In accordance with the applicable agreement, expenses for services relating to funds management and administrative expenses to the recordkeeper for distribution, valuation and mailing services related to Plan administration are paid by the Plan primarily using forfeitures. Forfeitures of approximately $2,100 were used to pay plan administrative expenses during the year ended December 31,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B - SUMMARY OF ACCOUNTING POLICIES</w:t>
      </w:r>
    </w:p>
    <w:p>
      <w:pPr>
        <w:spacing w:after="0" w:line="179"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The financial statements of the Plan have been prepared in conformity with accounting principles generally accepted in the United States of America (“US GAAP”). A summary of the significant accounting policies applied in the preparation of the accompanying financial statements follows.</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Basis of Accounting</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financial statements of the Plan are prepared using the accrual method of accounting.</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Use of Estimates</w:t>
      </w:r>
    </w:p>
    <w:p>
      <w:pPr>
        <w:spacing w:after="0" w:line="189"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GAAP requires management to make estimates and assumptions that affect the reported amounts of assets and liabilities and changes therein, and disclosure of contingent assets and liabilities. Actual results could differ from those estimates.</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Valuation of Investments and Income Recognition</w:t>
      </w:r>
    </w:p>
    <w:p>
      <w:pPr>
        <w:spacing w:after="0" w:line="175"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The Plan’s investments are stated at fair value. See Note C for further discussion of the Plan’s valuation methods under fair value accounting standards.</w:t>
      </w:r>
    </w:p>
    <w:p>
      <w:pPr>
        <w:spacing w:after="0" w:line="132"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Purchases and sales of securities are recorded on a trade-date basis. Interest income is recorded when earned and dividends are recorded on the ex-dividend date. Net appreciation or depreciation includes gains and losses on investments bought and sold as well as held during the year.</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Contributions</w:t>
      </w:r>
    </w:p>
    <w:p>
      <w:pPr>
        <w:spacing w:after="0" w:line="175"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Contributions from Plan participants and the matching contributions from the Company are recorded in the year in which employee contributions are withheld from compensation.</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Payment of Benefits</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Notes Receivable from Participants</w:t>
      </w:r>
    </w:p>
    <w:p>
      <w:pPr>
        <w:spacing w:after="0" w:line="189"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balance plus any accrued but unpaid interest. Interest income is recorded on the accrual basis. Related fees are recorded as administrative expenses and are expensed as incurred. No allowance for credit losses has been recorded as of December 31, 2025 and 2024. Delinquent loans are reclassified as distributions based upon the terms of the Plan document.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Rent-A-Center East, Inc. Retirement Savings Plan for Puerto Rico Employees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 FAIR VALUE MEASUREMENTS</w:t>
      </w:r>
    </w:p>
    <w:p>
      <w:pPr>
        <w:spacing w:after="0" w:line="193" w:lineRule="exact"/>
        <w:rPr>
          <w:sz w:val="20"/>
          <w:szCs w:val="20"/>
          <w:color w:val="auto"/>
        </w:rPr>
      </w:pPr>
    </w:p>
    <w:p>
      <w:pPr>
        <w:jc w:val="both"/>
        <w:ind w:left="300"/>
        <w:spacing w:after="0" w:line="254" w:lineRule="auto"/>
        <w:rPr>
          <w:sz w:val="20"/>
          <w:szCs w:val="20"/>
          <w:color w:val="auto"/>
        </w:rPr>
      </w:pPr>
      <w:r>
        <w:rPr>
          <w:rFonts w:ascii="Times New Roman" w:cs="Times New Roman" w:eastAsia="Times New Roman" w:hAnsi="Times New Roman"/>
          <w:sz w:val="20"/>
          <w:szCs w:val="20"/>
          <w:color w:val="auto"/>
        </w:rPr>
        <w:t>The Plan uses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30"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 Readily accessible and unadjusted quoted prices in an active market for identical assets or liabilities.</w:t>
      </w:r>
    </w:p>
    <w:p>
      <w:pPr>
        <w:spacing w:after="0" w:line="175" w:lineRule="exact"/>
        <w:rPr>
          <w:rFonts w:ascii="Times New Roman" w:cs="Times New Roman" w:eastAsia="Times New Roman" w:hAnsi="Times New Roman"/>
          <w:sz w:val="20"/>
          <w:szCs w:val="20"/>
          <w:color w:val="auto"/>
        </w:rPr>
      </w:pPr>
    </w:p>
    <w:p>
      <w:pPr>
        <w:jc w:val="both"/>
        <w:ind w:left="1140" w:hanging="383"/>
        <w:spacing w:after="0" w:line="250"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 Significant observable inputs other than Level 1 inputs, such as quoted prices for similar assets or liabilities in active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p>
      <w:pPr>
        <w:spacing w:after="0" w:line="148" w:lineRule="exact"/>
        <w:rPr>
          <w:rFonts w:ascii="Times New Roman" w:cs="Times New Roman" w:eastAsia="Times New Roman" w:hAnsi="Times New Roman"/>
          <w:sz w:val="20"/>
          <w:szCs w:val="20"/>
          <w:color w:val="auto"/>
        </w:rPr>
      </w:pPr>
    </w:p>
    <w:p>
      <w:pPr>
        <w:ind w:left="1140" w:hanging="383"/>
        <w:spacing w:after="0" w:line="273"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Level 3 </w:t>
      </w:r>
      <w:r>
        <w:rPr>
          <w:rFonts w:ascii="Times New Roman" w:cs="Times New Roman" w:eastAsia="Times New Roman" w:hAnsi="Times New Roman"/>
          <w:sz w:val="20"/>
          <w:szCs w:val="20"/>
          <w:color w:val="auto"/>
        </w:rPr>
        <w:t>- Significant unobservable inputs that are supported by little or no market activity and that are significant to the fair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value of the assets or liabilities.</w:t>
      </w:r>
    </w:p>
    <w:p>
      <w:pPr>
        <w:spacing w:after="0" w:line="115"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An asset or liability’s level within the fair value hierarchy is based on the lowest level of any input that is significant to its fair value measurement. Valuation techniques used aim to maximize the use of observable inputs and minimize the use of unobservable inputs.</w:t>
      </w:r>
    </w:p>
    <w:p>
      <w:pPr>
        <w:spacing w:after="0" w:line="119"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instruments measured at fair value on a recurring basis and recognized in the accompanying statements of net assets available for benefits, as well as the general classification of such instruments pursuant to the valuation hierarchy. The Plan did not change its valuation techniques associated with fair value measurements from the prior period, and there were no transfers between levels during the years ended December 31, 2025 and 2024.</w:t>
      </w:r>
    </w:p>
    <w:p>
      <w:pPr>
        <w:spacing w:after="0" w:line="153" w:lineRule="exact"/>
        <w:rPr>
          <w:sz w:val="20"/>
          <w:szCs w:val="20"/>
          <w:color w:val="auto"/>
        </w:rPr>
      </w:pPr>
    </w:p>
    <w:p>
      <w:pPr>
        <w:jc w:val="both"/>
        <w:ind w:left="300"/>
        <w:spacing w:after="0" w:line="249" w:lineRule="auto"/>
        <w:rPr>
          <w:sz w:val="20"/>
          <w:szCs w:val="20"/>
          <w:color w:val="auto"/>
        </w:rPr>
      </w:pPr>
      <w:r>
        <w:rPr>
          <w:rFonts w:ascii="Times New Roman" w:cs="Times New Roman" w:eastAsia="Times New Roman" w:hAnsi="Times New Roman"/>
          <w:sz w:val="20"/>
          <w:szCs w:val="20"/>
          <w:color w:val="auto"/>
        </w:rPr>
        <w:t>When quoted market prices are available in an active market, investments in securities are classified within Level 1 of the valuation hierarchy. These securities include the Plan’s mutual funds and Upbound Group, Inc. common stock, which are valued at the closing price reported by the exchanges on which they are traded. In addition, the money market deposit account is classified within the level 1 valuation hierarchy.</w:t>
      </w:r>
    </w:p>
    <w:p>
      <w:pPr>
        <w:spacing w:after="0" w:line="139" w:lineRule="exact"/>
        <w:rPr>
          <w:sz w:val="20"/>
          <w:szCs w:val="20"/>
          <w:color w:val="auto"/>
        </w:rPr>
      </w:pPr>
    </w:p>
    <w:p>
      <w:pPr>
        <w:jc w:val="both"/>
        <w:ind w:left="300"/>
        <w:spacing w:after="0" w:line="245" w:lineRule="auto"/>
        <w:rPr>
          <w:sz w:val="20"/>
          <w:szCs w:val="20"/>
          <w:color w:val="auto"/>
        </w:rPr>
      </w:pPr>
      <w:r>
        <w:rPr>
          <w:rFonts w:ascii="Times New Roman" w:cs="Times New Roman" w:eastAsia="Times New Roman" w:hAnsi="Times New Roman"/>
          <w:sz w:val="20"/>
          <w:szCs w:val="20"/>
          <w:color w:val="auto"/>
        </w:rPr>
        <w:t>The stable value fund is a collective trust and is valued at the Net Asset Value (“NAV”) of units of the bank collective trust. NAV is a readily determinable fair value and is the basis for current transactions. Participant transactions (purchases and sales) may occur daily. If the Plan initiates a full redemption of the collective trust, the issuer reserves the right to temporarily delay withdrawal from the trust in order to ensure that securities liquidations will be carried out in an orderly business manner. The NAV is provided by the administrator of the fund, which is based on the value of the underlying assets owned by the fund minus applicable liabilities and then divided by the number of shares outstanding. There are no redemption restrictions on the stable value fund.</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Rent-A-Center East, Inc. Retirement Savings Plan for Puerto Rico Employees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 as of December 31, 2025.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5,081,043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5,081,043</w:t>
            </w:r>
          </w:p>
        </w:tc>
        <w:tc>
          <w:tcPr>
            <w:tcW w:w="12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158,210</w:t>
            </w:r>
          </w:p>
        </w:tc>
        <w:tc>
          <w:tcPr>
            <w:tcW w:w="12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deposit account</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Collective trust investment, stable value fund</w:t>
            </w: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450,900</w:t>
            </w:r>
          </w:p>
        </w:tc>
        <w:tc>
          <w:tcPr>
            <w:tcW w:w="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450,900</w:t>
            </w:r>
          </w:p>
        </w:tc>
        <w:tc>
          <w:tcPr>
            <w:tcW w:w="120" w:type="dxa"/>
            <w:vAlign w:val="bottom"/>
          </w:tcPr>
          <w:p>
            <w:pPr>
              <w:spacing w:after="0"/>
              <w:rPr>
                <w:sz w:val="18"/>
                <w:szCs w:val="18"/>
                <w:color w:val="auto"/>
              </w:rPr>
            </w:pPr>
          </w:p>
        </w:tc>
      </w:tr>
      <w:tr>
        <w:trPr>
          <w:trHeight w:val="229"/>
        </w:trPr>
        <w:tc>
          <w:tcPr>
            <w:tcW w:w="3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Subtotal</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5,241,071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450,900</w:t>
            </w:r>
          </w:p>
        </w:tc>
        <w:tc>
          <w:tcPr>
            <w:tcW w:w="144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5,691,971</w:t>
            </w:r>
          </w:p>
        </w:tc>
        <w:tc>
          <w:tcPr>
            <w:tcW w:w="120" w:type="dxa"/>
            <w:vAlign w:val="bottom"/>
            <w:shd w:val="clear" w:color="auto" w:fill="CFF0FC"/>
          </w:tcPr>
          <w:p>
            <w:pPr>
              <w:spacing w:after="0"/>
              <w:rPr>
                <w:sz w:val="19"/>
                <w:szCs w:val="19"/>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-25400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at fair value as of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4,378,890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4,378,890</w:t>
            </w:r>
          </w:p>
        </w:tc>
        <w:tc>
          <w:tcPr>
            <w:tcW w:w="12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340,098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340,098</w:t>
            </w:r>
          </w:p>
        </w:tc>
        <w:tc>
          <w:tcPr>
            <w:tcW w:w="12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deposit account</w:t>
            </w: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2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Collective trust investment, stable value fund</w:t>
            </w:r>
          </w:p>
        </w:tc>
        <w:tc>
          <w:tcPr>
            <w:tcW w:w="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365,923</w:t>
            </w:r>
          </w:p>
        </w:tc>
        <w:tc>
          <w:tcPr>
            <w:tcW w:w="2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365,923</w:t>
            </w:r>
          </w:p>
        </w:tc>
        <w:tc>
          <w:tcPr>
            <w:tcW w:w="120" w:type="dxa"/>
            <w:vAlign w:val="bottom"/>
          </w:tcPr>
          <w:p>
            <w:pPr>
              <w:spacing w:after="0"/>
              <w:rPr>
                <w:sz w:val="18"/>
                <w:szCs w:val="18"/>
                <w:color w:val="auto"/>
              </w:rPr>
            </w:pPr>
          </w:p>
        </w:tc>
      </w:tr>
      <w:tr>
        <w:trPr>
          <w:trHeight w:val="230"/>
        </w:trPr>
        <w:tc>
          <w:tcPr>
            <w:tcW w:w="3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Subtotal</w:t>
            </w: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4,721,459</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365,923</w:t>
            </w:r>
          </w:p>
        </w:tc>
        <w:tc>
          <w:tcPr>
            <w:tcW w:w="144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5,087,382</w:t>
            </w:r>
          </w:p>
        </w:tc>
        <w:tc>
          <w:tcPr>
            <w:tcW w:w="120" w:type="dxa"/>
            <w:vAlign w:val="bottom"/>
            <w:shd w:val="clear" w:color="auto" w:fill="CFF0FC"/>
          </w:tcPr>
          <w:p>
            <w:pPr>
              <w:spacing w:after="0"/>
              <w:rPr>
                <w:sz w:val="19"/>
                <w:szCs w:val="19"/>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D - INCOME TAX STATUS</w:t>
      </w:r>
    </w:p>
    <w:p>
      <w:pPr>
        <w:spacing w:after="0" w:line="179" w:lineRule="exact"/>
        <w:rPr>
          <w:sz w:val="20"/>
          <w:szCs w:val="20"/>
          <w:color w:val="auto"/>
        </w:rPr>
      </w:pPr>
    </w:p>
    <w:p>
      <w:pPr>
        <w:jc w:val="both"/>
        <w:ind w:left="280"/>
        <w:spacing w:after="0" w:line="246" w:lineRule="auto"/>
        <w:rPr>
          <w:sz w:val="20"/>
          <w:szCs w:val="20"/>
          <w:color w:val="auto"/>
        </w:rPr>
      </w:pPr>
      <w:r>
        <w:rPr>
          <w:rFonts w:ascii="Times New Roman" w:cs="Times New Roman" w:eastAsia="Times New Roman" w:hAnsi="Times New Roman"/>
          <w:sz w:val="20"/>
          <w:szCs w:val="20"/>
          <w:color w:val="auto"/>
        </w:rPr>
        <w:t>The Plan obtained its latest determination letter effective January 1, 2016, in which the Puerto Rico taxing authority, Departamento de Hacienda, stated that the Plan, as then designed, was in compliance with the applicable requirements of the Puerto Rico Internal Revenue Code (the “Code”) Section 1165(a). The Plan administrator and the Plan’s tax counsel believe the Plan is designed and is currently being operated in compliance with the applicable requirements of the Code, and therefore believe that the Plan is qualified and the related trust is tax-exempt. Therefore, no provision for income taxes has been included in the Plan’s financial statements.</w:t>
      </w:r>
    </w:p>
    <w:p>
      <w:pPr>
        <w:spacing w:after="0" w:line="144" w:lineRule="exact"/>
        <w:rPr>
          <w:sz w:val="20"/>
          <w:szCs w:val="20"/>
          <w:color w:val="auto"/>
        </w:rPr>
      </w:pPr>
    </w:p>
    <w:p>
      <w:pPr>
        <w:jc w:val="both"/>
        <w:ind w:left="280" w:right="20"/>
        <w:spacing w:after="0" w:line="249" w:lineRule="auto"/>
        <w:rPr>
          <w:sz w:val="20"/>
          <w:szCs w:val="20"/>
          <w:color w:val="auto"/>
        </w:rPr>
      </w:pPr>
      <w:r>
        <w:rPr>
          <w:rFonts w:ascii="Times New Roman" w:cs="Times New Roman" w:eastAsia="Times New Roman" w:hAnsi="Times New Roman"/>
          <w:sz w:val="20"/>
          <w:szCs w:val="20"/>
          <w:color w:val="auto"/>
        </w:rPr>
        <w:t>US GAAP requires Plan management to evaluate tax positions taken by the Plan and recognize a tax liability if the organization has taken an uncertain position that more likely than not would not be sustained upon examination by the Departamento de Hacienda. The Plan has concluded that it has no material uncertain tax liabilities to be recognized as of December 31, 2025. The Plan is subject to routine audits by taxing jurisdictions; however, there are currently no audits for any tax periods in progress.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 - PARTY-IN-INTEREST TRANSACTIONS</w:t>
      </w:r>
    </w:p>
    <w:p>
      <w:pPr>
        <w:spacing w:after="0" w:line="179"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Certain Plan investments include shares of Upbound Group, Inc.’s common stock. These transactions qualify as party-in-interest transactions. In addition, loans made to participants in the Plan are also considered party-in-interest transactions.</w:t>
      </w:r>
    </w:p>
    <w:p>
      <w:pPr>
        <w:spacing w:after="0" w:line="119" w:lineRule="exact"/>
        <w:rPr>
          <w:sz w:val="20"/>
          <w:szCs w:val="20"/>
          <w:color w:val="auto"/>
        </w:rPr>
      </w:pPr>
    </w:p>
    <w:p>
      <w:pPr>
        <w:jc w:val="both"/>
        <w:ind w:left="300"/>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2025, the Plan incurred approximately $7,000 and $2,000 of fees associated with services provided by NestEgg and INTRUST, respectively, both of which qualify as party-in-interest transactions.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Rent-A-Center East, Inc. Retirement Savings Plan for Puerto Rico Employees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NOTES TO FINANCIAL STATEMENTS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 - RISKS AND UNCERTAINTIES</w:t>
      </w:r>
    </w:p>
    <w:p>
      <w:pPr>
        <w:spacing w:after="0" w:line="193" w:lineRule="exact"/>
        <w:rPr>
          <w:sz w:val="20"/>
          <w:szCs w:val="20"/>
          <w:color w:val="auto"/>
        </w:rPr>
      </w:pPr>
    </w:p>
    <w:p>
      <w:pPr>
        <w:jc w:val="both"/>
        <w:ind w:left="300"/>
        <w:spacing w:after="0" w:line="243" w:lineRule="auto"/>
        <w:rPr>
          <w:sz w:val="20"/>
          <w:szCs w:val="20"/>
          <w:color w:val="auto"/>
        </w:rPr>
      </w:pPr>
      <w:r>
        <w:rPr>
          <w:rFonts w:ascii="Times New Roman" w:cs="Times New Roman" w:eastAsia="Times New Roman" w:hAnsi="Times New Roman"/>
          <w:sz w:val="20"/>
          <w:szCs w:val="20"/>
          <w:color w:val="auto"/>
        </w:rPr>
        <w:t>The Plan invests in various types of investment securities. Investment securities are exposed to various risks, such as interest rate, market, and credit risks. Market risks include global events, which could impact the value of investment securities, such as a pandemic or international conflict. Due to the level of risk associated with certain investment securities, it is at least reasonably possible that changes in the values of investment securities will occur in the near term and that such changes could materially affect the participants’ account balances and amounts reported in the statements of net assets available for benefits. Please reference “Risk Factors” in Part I, Item 1A in our Annual Report on Form 10-K for the year ended December 31, 2025, which is incorporated by reference herein, for additional discussion of material risks related to the Company which may adversely impact the Company’s operations, financial position, results of operations, cash flows and the value of the Company’s common stock.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G - RECONCILIATION OF FINANCIAL STATEMENTS TO FORM 5500</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The following is a reconciliation of net assets available for benefits per the financial statements to the Form 5500 at December 31: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r>
      <w:tr>
        <w:trPr>
          <w:trHeight w:val="237"/>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20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6,279,164</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5,668,099</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deemed as distributed</w:t>
            </w:r>
          </w:p>
        </w:tc>
        <w:tc>
          <w:tcPr>
            <w:tcW w:w="1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(38,212)</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(24,282)</w:t>
            </w:r>
          </w:p>
        </w:tc>
      </w:tr>
      <w:tr>
        <w:trPr>
          <w:trHeight w:val="22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assets available for benefits per the Form 5500</w:t>
            </w:r>
          </w:p>
        </w:tc>
        <w:tc>
          <w:tcPr>
            <w:tcW w:w="17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6,240,952</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5,643,817</w:t>
            </w: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3" w:lineRule="exact"/>
        <w:rPr>
          <w:sz w:val="20"/>
          <w:szCs w:val="20"/>
          <w:color w:val="auto"/>
        </w:rPr>
      </w:pPr>
    </w:p>
    <w:p>
      <w:pPr>
        <w:ind w:left="280" w:right="420"/>
        <w:spacing w:after="0" w:line="269" w:lineRule="auto"/>
        <w:rPr>
          <w:sz w:val="20"/>
          <w:szCs w:val="20"/>
          <w:color w:val="auto"/>
        </w:rPr>
      </w:pPr>
      <w:r>
        <w:rPr>
          <w:rFonts w:ascii="Times New Roman" w:cs="Times New Roman" w:eastAsia="Times New Roman" w:hAnsi="Times New Roman"/>
          <w:sz w:val="20"/>
          <w:szCs w:val="20"/>
          <w:color w:val="auto"/>
        </w:rPr>
        <w:t>The following is a reconciliation of the change in net assets per the financial statements to net income per the Form 5500 for the year ended December 31, 2025:</w:t>
      </w:r>
    </w:p>
    <w:p>
      <w:pPr>
        <w:sectPr>
          <w:pgSz w:w="11900" w:h="16838" w:orient="portrait"/>
          <w:cols w:equalWidth="0" w:num="1">
            <w:col w:w="11240"/>
          </w:cols>
          <w:pgMar w:left="320" w:top="545" w:right="339" w:bottom="1440" w:gutter="0" w:footer="0" w:header="0"/>
        </w:sectPr>
      </w:pP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per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adjustment from loans deemed as distributed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per the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left="1285" w:hanging="1285"/>
        <w:spacing w:after="0"/>
        <w:tabs>
          <w:tab w:leader="none" w:pos="12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611,065</w:t>
      </w:r>
    </w:p>
    <w:p>
      <w:pPr>
        <w:spacing w:after="0" w:line="27" w:lineRule="exact"/>
        <w:rPr>
          <w:rFonts w:ascii="Times New Roman" w:cs="Times New Roman" w:eastAsia="Times New Roman" w:hAnsi="Times New Roman"/>
          <w:sz w:val="18"/>
          <w:szCs w:val="18"/>
          <w:color w:val="auto"/>
        </w:rPr>
      </w:pPr>
    </w:p>
    <w:p>
      <w:pPr>
        <w:ind w:left="130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1912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1285" w:hanging="1285"/>
        <w:spacing w:after="0"/>
        <w:tabs>
          <w:tab w:leader="none" w:pos="12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597,135</w:t>
      </w:r>
    </w:p>
    <w:p>
      <w:pPr>
        <w:spacing w:after="0" w:line="200" w:lineRule="exact"/>
        <w:rPr>
          <w:sz w:val="20"/>
          <w:szCs w:val="20"/>
          <w:color w:val="auto"/>
        </w:rPr>
      </w:pPr>
    </w:p>
    <w:p>
      <w:pPr>
        <w:sectPr>
          <w:pgSz w:w="11900" w:h="16838" w:orient="portrait"/>
          <w:cols w:equalWidth="0" w:num="2">
            <w:col w:w="8535" w:space="720"/>
            <w:col w:w="1985"/>
          </w:cols>
          <w:pgMar w:left="320" w:top="54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H - SUBSEQUENT EVENTS</w:t>
      </w:r>
    </w:p>
    <w:p>
      <w:pPr>
        <w:spacing w:after="0" w:line="179"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20"/>
          <w:szCs w:val="20"/>
          <w:color w:val="auto"/>
        </w:rPr>
        <w:t>The Plan has evaluated subsequent events through June 18, 2026, the date the financial statements were issued. No adjustments were made to the financial statements as a result of this evaluation.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SUPPLEMENTAL INFORMATION</w:t>
      </w:r>
    </w:p>
    <w:p>
      <w:pPr>
        <w:sectPr>
          <w:pgSz w:w="11900" w:h="16838" w:orient="portrait"/>
          <w:cols w:equalWidth="0" w:num="1">
            <w:col w:w="9019"/>
          </w:cols>
          <w:pgMar w:left="1440" w:top="1440" w:right="1440"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Rent-A-Center East, Inc. Retirement Savings Plan for Puerto Rico Employees</w:t>
      </w:r>
    </w:p>
    <w:p>
      <w:pPr>
        <w:spacing w:after="0" w:line="31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SCHEDULE H, PART IV, LINE 4i - SCHEDULE OF ASSETS (HELD AT END OF YEAR)</w:t>
      </w:r>
    </w:p>
    <w:p>
      <w:pPr>
        <w:spacing w:after="0" w:line="17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December 31, 2025</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EIN: 48-1024367</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Plan No: 001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(b)</w:t>
            </w:r>
          </w:p>
        </w:tc>
        <w:tc>
          <w:tcPr>
            <w:tcW w:w="200" w:type="dxa"/>
            <w:vAlign w:val="bottom"/>
          </w:tcPr>
          <w:p>
            <w:pPr>
              <w:spacing w:after="0"/>
              <w:rPr>
                <w:sz w:val="17"/>
                <w:szCs w:val="17"/>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1039"/>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213"/>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220" w:type="dxa"/>
            <w:vAlign w:val="bottom"/>
          </w:tcPr>
          <w:p>
            <w:pPr>
              <w:spacing w:after="0"/>
              <w:rPr>
                <w:sz w:val="18"/>
                <w:szCs w:val="18"/>
                <w:color w:val="auto"/>
              </w:rPr>
            </w:pPr>
          </w:p>
        </w:tc>
        <w:tc>
          <w:tcPr>
            <w:tcW w:w="37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Identity of issuer or borrower</w:t>
            </w:r>
          </w:p>
        </w:tc>
        <w:tc>
          <w:tcPr>
            <w:tcW w:w="200" w:type="dxa"/>
            <w:vAlign w:val="bottom"/>
          </w:tcPr>
          <w:p>
            <w:pPr>
              <w:spacing w:after="0"/>
              <w:rPr>
                <w:sz w:val="18"/>
                <w:szCs w:val="18"/>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Description of investment</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rPr>
              <w:t>Current Value</w:t>
            </w:r>
          </w:p>
        </w:tc>
        <w:tc>
          <w:tcPr>
            <w:tcW w:w="0" w:type="dxa"/>
            <w:vAlign w:val="bottom"/>
          </w:tcPr>
          <w:p>
            <w:pPr>
              <w:spacing w:after="0"/>
              <w:rPr>
                <w:sz w:val="1"/>
                <w:szCs w:val="1"/>
                <w:color w:val="auto"/>
              </w:rPr>
            </w:pPr>
          </w:p>
        </w:tc>
      </w:tr>
      <w:tr>
        <w:trPr>
          <w:trHeight w:val="199"/>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Fidelity</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Small Cap Index Fund</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75,040</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Mid Cap Index Fund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18,131</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PRIMECAP Odyssey</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Aggressive Growth Fund</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198,079</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500 Index Fund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524,217</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John Hancock Funds</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Disciplined Value Fund Class R6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348,228</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Large Cap Growth Fund Class R6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74,312</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Putnam</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Small Cap Growth Fund Class R6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138,007</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Allspring</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Special Mid Cap Value Fund - Class R6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17,379</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GQG Partners</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Emerging Markets Equity Fund R6 Shares</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6,823</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Fidelity</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International Index Fund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171,550</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Fidelity</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International Index Fund</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5,173</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SmartRetirement Income R6 Fund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116,581</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JPMorgan SmartRetirement 2060 R6 Fund</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190,057</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JPMorgan SmartRetirement 2055 R6 Fund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353,495</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JPMorgan SmartRetirement 2050 R6 Fund</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637,051</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JPMorgan SmartRetirement 2045 R6 Fund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782,892</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JPMorgan SmartRetirement 2040 R6 Fund</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626,464</w:t>
            </w: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JPMorgan SmartRetirement 2035 R6 Fund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419,151</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JPMorgan SmartRetirement 2030 R6 Fund</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73,438</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JPMorgan SmartRetirement 2025 R6 Fund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95,956</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Fidelity</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US Bond Index Fund</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6,242</w:t>
            </w: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JPMorgan US Government Funds</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Money Market Fund</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1,818</w:t>
            </w: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JPMorgan</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Core Plus Bond Fund Class R6</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202,777</w:t>
            </w:r>
          </w:p>
        </w:tc>
        <w:tc>
          <w:tcPr>
            <w:tcW w:w="0" w:type="dxa"/>
            <w:vAlign w:val="bottom"/>
          </w:tcPr>
          <w:p>
            <w:pPr>
              <w:spacing w:after="0"/>
              <w:rPr>
                <w:sz w:val="1"/>
                <w:szCs w:val="1"/>
                <w:color w:val="auto"/>
              </w:rPr>
            </w:pPr>
          </w:p>
        </w:tc>
      </w:tr>
      <w:tr>
        <w:trPr>
          <w:trHeight w:val="203"/>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Upbound Group, Inc.</w:t>
            </w:r>
          </w:p>
        </w:tc>
        <w:tc>
          <w:tcPr>
            <w:tcW w:w="3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158,210</w:t>
            </w:r>
          </w:p>
        </w:tc>
        <w:tc>
          <w:tcPr>
            <w:tcW w:w="0" w:type="dxa"/>
            <w:vAlign w:val="bottom"/>
          </w:tcPr>
          <w:p>
            <w:pPr>
              <w:spacing w:after="0"/>
              <w:rPr>
                <w:sz w:val="1"/>
                <w:szCs w:val="1"/>
                <w:color w:val="auto"/>
              </w:rPr>
            </w:pPr>
          </w:p>
        </w:tc>
      </w:tr>
      <w:tr>
        <w:trPr>
          <w:trHeight w:val="203"/>
        </w:trPr>
        <w:tc>
          <w:tcPr>
            <w:tcW w:w="8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Galliard</w:t>
            </w:r>
          </w:p>
        </w:tc>
        <w:tc>
          <w:tcPr>
            <w:tcW w:w="39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Stable Return Fund E</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9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450,900</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investments</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5,691,971</w:t>
            </w:r>
          </w:p>
        </w:tc>
        <w:tc>
          <w:tcPr>
            <w:tcW w:w="0" w:type="dxa"/>
            <w:vAlign w:val="bottom"/>
          </w:tcPr>
          <w:p>
            <w:pPr>
              <w:spacing w:after="0"/>
              <w:rPr>
                <w:sz w:val="1"/>
                <w:szCs w:val="1"/>
                <w:color w:val="auto"/>
              </w:rPr>
            </w:pPr>
          </w:p>
        </w:tc>
      </w:tr>
      <w:tr>
        <w:trPr>
          <w:trHeight w:val="189"/>
        </w:trPr>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6"/>
                <w:szCs w:val="16"/>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Participant Loans</w:t>
            </w: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Notes receivable from participants, interest rates at</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9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740" w:type="dxa"/>
            <w:vAlign w:val="bottom"/>
            <w:shd w:val="clear" w:color="auto" w:fill="CFF0FC"/>
          </w:tcPr>
          <w:p>
            <w:pPr>
              <w:spacing w:after="0"/>
              <w:rPr>
                <w:sz w:val="17"/>
                <w:szCs w:val="17"/>
                <w:color w:val="auto"/>
              </w:rPr>
            </w:pPr>
          </w:p>
        </w:tc>
        <w:tc>
          <w:tcPr>
            <w:tcW w:w="39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3.25% minimum, 8.5% maximum and maturing from</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940" w:type="dxa"/>
            <w:vAlign w:val="bottom"/>
            <w:vMerge w:val="restart"/>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589,983</w:t>
            </w:r>
          </w:p>
        </w:tc>
        <w:tc>
          <w:tcPr>
            <w:tcW w:w="0" w:type="dxa"/>
            <w:vAlign w:val="bottom"/>
          </w:tcPr>
          <w:p>
            <w:pPr>
              <w:spacing w:after="0"/>
              <w:rPr>
                <w:sz w:val="1"/>
                <w:szCs w:val="1"/>
                <w:color w:val="auto"/>
              </w:rPr>
            </w:pPr>
          </w:p>
        </w:tc>
      </w:tr>
      <w:tr>
        <w:trPr>
          <w:trHeight w:val="203"/>
        </w:trPr>
        <w:tc>
          <w:tcPr>
            <w:tcW w:w="8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3740" w:type="dxa"/>
            <w:vAlign w:val="bottom"/>
            <w:tcBorders>
              <w:bottom w:val="single" w:sz="8" w:color="CFF0FC"/>
            </w:tcBorders>
            <w:shd w:val="clear" w:color="auto" w:fill="CFF0FC"/>
          </w:tcPr>
          <w:p>
            <w:pPr>
              <w:spacing w:after="0"/>
              <w:rPr>
                <w:sz w:val="17"/>
                <w:szCs w:val="17"/>
                <w:color w:val="auto"/>
              </w:rPr>
            </w:pPr>
          </w:p>
        </w:tc>
        <w:tc>
          <w:tcPr>
            <w:tcW w:w="39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2026 to 2030</w:t>
            </w:r>
          </w:p>
        </w:tc>
        <w:tc>
          <w:tcPr>
            <w:tcW w:w="2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9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Total, at fair value</w:t>
            </w:r>
          </w:p>
        </w:tc>
        <w:tc>
          <w:tcPr>
            <w:tcW w:w="2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6,281,954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 party-in-interest.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Cost has been omitted as investments are all participant-directed and the cost basis for participant loans was zero.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7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The Plan</w:t>
      </w:r>
      <w:r>
        <w:rPr>
          <w:rFonts w:ascii="Times New Roman" w:cs="Times New Roman" w:eastAsia="Times New Roman" w:hAnsi="Times New Roman"/>
          <w:sz w:val="20"/>
          <w:szCs w:val="20"/>
          <w:color w:val="auto"/>
        </w:rPr>
        <w:t>. Pursuant to the requirements of the Securities Exchange Act of 1934, the trustees (or other persons who administer the employee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benefit plan) have duly caused this annual report to be signed on its behalf by the undersigned hereunto duly authorized.</w:t>
      </w:r>
    </w:p>
    <w:p>
      <w:pPr>
        <w:spacing w:after="0" w:line="1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RENT-A-CENTER EAST, INC. RETIREMENT</w:t>
      </w:r>
    </w:p>
    <w:p>
      <w:pPr>
        <w:spacing w:after="0" w:line="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SAVINGS PLAN FOR PUERTO RICO</w:t>
      </w:r>
    </w:p>
    <w:p>
      <w:pPr>
        <w:ind w:left="5580"/>
        <w:spacing w:after="0"/>
        <w:rPr>
          <w:sz w:val="20"/>
          <w:szCs w:val="20"/>
          <w:color w:val="auto"/>
        </w:rPr>
      </w:pPr>
      <w:r>
        <w:rPr>
          <w:rFonts w:ascii="Times New Roman" w:cs="Times New Roman" w:eastAsia="Times New Roman" w:hAnsi="Times New Roman"/>
          <w:sz w:val="20"/>
          <w:szCs w:val="20"/>
          <w:color w:val="auto"/>
        </w:rPr>
        <w:t>EMPLOYEES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236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UPBOUND GROUP, INC.</w:t>
            </w:r>
          </w:p>
        </w:tc>
      </w:tr>
      <w:tr>
        <w:trPr>
          <w:trHeight w:val="258"/>
        </w:trPr>
        <w:tc>
          <w:tcPr>
            <w:tcW w:w="37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Plan Administrator</w:t>
            </w:r>
          </w:p>
        </w:tc>
      </w:tr>
      <w:tr>
        <w:trPr>
          <w:trHeight w:val="871"/>
        </w:trPr>
        <w:tc>
          <w:tcPr>
            <w:tcW w:w="3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   June 18, 2026</w:t>
            </w:r>
          </w:p>
        </w:tc>
        <w:tc>
          <w:tcPr>
            <w:tcW w:w="236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Andrew West</w:t>
            </w:r>
          </w:p>
        </w:tc>
      </w:tr>
      <w:tr>
        <w:trPr>
          <w:trHeight w:val="200"/>
        </w:trPr>
        <w:tc>
          <w:tcPr>
            <w:tcW w:w="37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16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Andrew West</w:t>
            </w:r>
          </w:p>
        </w:tc>
      </w:tr>
      <w:tr>
        <w:trPr>
          <w:trHeight w:val="258"/>
        </w:trPr>
        <w:tc>
          <w:tcPr>
            <w:tcW w:w="37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1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Assistant Corporate Secretary</w:t>
            </w:r>
          </w:p>
        </w:tc>
      </w:tr>
      <w:tr>
        <w:trPr>
          <w:trHeight w:val="796"/>
        </w:trPr>
        <w:tc>
          <w:tcPr>
            <w:tcW w:w="3720" w:type="dxa"/>
            <w:vAlign w:val="bottom"/>
          </w:tcPr>
          <w:p>
            <w:pPr>
              <w:spacing w:after="0"/>
              <w:rPr>
                <w:sz w:val="24"/>
                <w:szCs w:val="24"/>
                <w:color w:val="auto"/>
              </w:rPr>
            </w:pPr>
          </w:p>
        </w:tc>
        <w:tc>
          <w:tcPr>
            <w:tcW w:w="2360" w:type="dxa"/>
            <w:vAlign w:val="bottom"/>
          </w:tcPr>
          <w:p>
            <w:pPr>
              <w:jc w:val="right"/>
              <w:ind w:right="261"/>
              <w:spacing w:after="0"/>
              <w:rPr>
                <w:sz w:val="20"/>
                <w:szCs w:val="20"/>
                <w:color w:val="auto"/>
              </w:rPr>
            </w:pPr>
            <w:r>
              <w:rPr>
                <w:rFonts w:ascii="Times New Roman" w:cs="Times New Roman" w:eastAsia="Times New Roman" w:hAnsi="Times New Roman"/>
                <w:sz w:val="20"/>
                <w:szCs w:val="20"/>
                <w:color w:val="auto"/>
              </w:rPr>
              <w:t>13</w:t>
            </w:r>
          </w:p>
        </w:tc>
        <w:tc>
          <w:tcPr>
            <w:tcW w:w="5160" w:type="dxa"/>
            <w:vAlign w:val="bottom"/>
          </w:tcPr>
          <w:p>
            <w:pPr>
              <w:spacing w:after="0"/>
              <w:rPr>
                <w:sz w:val="24"/>
                <w:szCs w:val="24"/>
                <w:color w:val="auto"/>
              </w:rPr>
            </w:pPr>
          </w:p>
        </w:tc>
      </w:tr>
      <w:tr>
        <w:trPr>
          <w:trHeight w:val="352"/>
        </w:trPr>
        <w:tc>
          <w:tcPr>
            <w:tcW w:w="37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 w:name="page16"/>
    <w:bookmarkEnd w:id="15"/>
    <w:p>
      <w:pPr>
        <w:jc w:val="right"/>
        <w:ind w:right="367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1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Exhibit</w:t>
      </w:r>
      <w:r>
        <w:rPr>
          <w:sz w:val="20"/>
          <w:szCs w:val="20"/>
          <w:color w:val="auto"/>
        </w:rPr>
        <w:tab/>
      </w:r>
      <w:r>
        <w:rPr>
          <w:rFonts w:ascii="Times New Roman" w:cs="Times New Roman" w:eastAsia="Times New Roman" w:hAnsi="Times New Roman"/>
          <w:sz w:val="20"/>
          <w:szCs w:val="20"/>
          <w:b w:val="1"/>
          <w:bCs w:val="1"/>
          <w:color w:val="auto"/>
        </w:rPr>
        <w:t>Exhibit</w:t>
      </w:r>
    </w:p>
    <w:p>
      <w:pPr>
        <w:spacing w:after="0" w:line="2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Number</w:t>
      </w:r>
      <w:r>
        <w:rPr>
          <w:sz w:val="20"/>
          <w:szCs w:val="20"/>
          <w:color w:val="auto"/>
        </w:rPr>
        <w:tab/>
      </w:r>
      <w:r>
        <w:rPr>
          <w:rFonts w:ascii="Times New Roman" w:cs="Times New Roman" w:eastAsia="Times New Roman" w:hAnsi="Times New Roman"/>
          <w:sz w:val="20"/>
          <w:szCs w:val="20"/>
          <w:b w:val="1"/>
          <w:bCs w:val="1"/>
          <w:color w:val="auto"/>
        </w:rPr>
        <w:t>Description</w:t>
      </w:r>
    </w:p>
    <w:p>
      <w:pPr>
        <w:spacing w:after="0" w:line="200" w:lineRule="exact"/>
        <w:rPr>
          <w:sz w:val="20"/>
          <w:szCs w:val="20"/>
          <w:color w:val="auto"/>
        </w:rPr>
      </w:pPr>
    </w:p>
    <w:p>
      <w:pPr>
        <w:spacing w:after="0" w:line="21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u w:val="single" w:color="auto"/>
          <w:color w:val="0000FF"/>
        </w:rPr>
        <w:t>Consent of Weaver and Tidwell,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-10795</wp:posOffset>
            </wp:positionV>
            <wp:extent cx="1891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9103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9030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2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333-171926 on Form S-8 of our report dated June 18, 2025, appearing in this Annual Report on Form 11-K of the Rent-A-Center East, Inc. Retirement Savings Plan for Puerto Rico Employees for the year ended December 31,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Weaver and Tidwell,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WEAVER AND TIDWELL,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TX</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2026-06-22T05:11:15Z</dcterms:created>
  <dcterms:modified xsi:type="dcterms:W3CDTF">2026-06-22T05:11:15Z</dcterms:modified>
</cp:coreProperties>
</file>