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UNITED STATES</w:t>
      </w:r>
    </w:p>
    <w:p>
      <w:pPr>
        <w:spacing w:after="0" w:line="154"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SECURITIES AND EXCHANGE COMMISSION</w:t>
      </w:r>
    </w:p>
    <w:p>
      <w:pPr>
        <w:spacing w:after="0" w:line="154" w:lineRule="exact"/>
        <w:rPr>
          <w:sz w:val="24"/>
          <w:szCs w:val="24"/>
          <w:color w:val="auto"/>
        </w:rPr>
      </w:pPr>
    </w:p>
    <w:p>
      <w:pPr>
        <w:jc w:val="center"/>
        <w:ind w:right="-719"/>
        <w:spacing w:after="0"/>
        <w:rPr>
          <w:sz w:val="20"/>
          <w:szCs w:val="20"/>
          <w:color w:val="auto"/>
        </w:rPr>
      </w:pPr>
      <w:r>
        <w:rPr>
          <w:rFonts w:ascii="Arial" w:cs="Arial" w:eastAsia="Arial" w:hAnsi="Arial"/>
          <w:sz w:val="16"/>
          <w:szCs w:val="16"/>
          <w:color w:val="auto"/>
        </w:rPr>
        <w:t>Washington, D.C. 20549</w:t>
      </w:r>
    </w:p>
    <w:p>
      <w:pPr>
        <w:spacing w:after="0" w:line="323"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SCHEDULE 14A</w:t>
      </w:r>
    </w:p>
    <w:p>
      <w:pPr>
        <w:spacing w:after="0" w:line="119" w:lineRule="exact"/>
        <w:rPr>
          <w:sz w:val="24"/>
          <w:szCs w:val="24"/>
          <w:color w:val="auto"/>
        </w:rPr>
      </w:pPr>
    </w:p>
    <w:p>
      <w:pPr>
        <w:jc w:val="center"/>
        <w:ind w:right="-719"/>
        <w:spacing w:after="0"/>
        <w:rPr>
          <w:sz w:val="20"/>
          <w:szCs w:val="20"/>
          <w:color w:val="auto"/>
        </w:rPr>
      </w:pPr>
      <w:r>
        <w:rPr>
          <w:rFonts w:ascii="Arial" w:cs="Arial" w:eastAsia="Arial" w:hAnsi="Arial"/>
          <w:sz w:val="16"/>
          <w:szCs w:val="16"/>
          <w:color w:val="auto"/>
        </w:rPr>
        <w:t>(RULE 14a-101)</w:t>
      </w:r>
    </w:p>
    <w:p>
      <w:pPr>
        <w:spacing w:after="0" w:line="154" w:lineRule="exact"/>
        <w:rPr>
          <w:sz w:val="24"/>
          <w:szCs w:val="24"/>
          <w:color w:val="auto"/>
        </w:rPr>
      </w:pPr>
    </w:p>
    <w:p>
      <w:pPr>
        <w:jc w:val="center"/>
        <w:ind w:right="-679"/>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31" w:lineRule="exact"/>
        <w:rPr>
          <w:sz w:val="24"/>
          <w:szCs w:val="24"/>
          <w:color w:val="auto"/>
        </w:rPr>
      </w:pPr>
    </w:p>
    <w:tbl>
      <w:tblPr>
        <w:tblLayout w:type="fixed"/>
        <w:tblInd w:w="77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60" w:type="dxa"/>
            <w:vAlign w:val="bottom"/>
            <w:gridSpan w:val="2"/>
          </w:tcPr>
          <w:p>
            <w:pPr>
              <w:jc w:val="center"/>
              <w:ind w:right="2939"/>
              <w:spacing w:after="0"/>
              <w:rPr>
                <w:sz w:val="20"/>
                <w:szCs w:val="20"/>
                <w:color w:val="auto"/>
              </w:rPr>
            </w:pPr>
            <w:r>
              <w:rPr>
                <w:rFonts w:ascii="Arial" w:cs="Arial" w:eastAsia="Arial" w:hAnsi="Arial"/>
                <w:sz w:val="16"/>
                <w:szCs w:val="16"/>
                <w:color w:val="auto"/>
              </w:rPr>
              <w:t>Exchange Act of 1934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1"/>
        </w:trPr>
        <w:tc>
          <w:tcPr>
            <w:tcW w:w="24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Filed by the Registrant</w:t>
            </w:r>
          </w:p>
        </w:tc>
        <w:tc>
          <w:tcPr>
            <w:tcW w:w="1640" w:type="dxa"/>
            <w:vAlign w:val="bottom"/>
          </w:tcPr>
          <w:p>
            <w:pPr>
              <w:jc w:val="center"/>
              <w:ind w:left="761"/>
              <w:spacing w:after="0"/>
              <w:rPr>
                <w:sz w:val="20"/>
                <w:szCs w:val="20"/>
                <w:color w:val="auto"/>
              </w:rPr>
            </w:pPr>
            <w:r>
              <w:rPr>
                <w:rFonts w:ascii="Arial" w:cs="Arial" w:eastAsia="Arial" w:hAnsi="Arial"/>
                <w:sz w:val="16"/>
                <w:szCs w:val="16"/>
                <w:color w:val="auto"/>
              </w:rPr>
              <w:t>​ ​</w:t>
            </w:r>
          </w:p>
        </w:tc>
        <w:tc>
          <w:tcPr>
            <w:tcW w:w="382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Filed by a Party other than the Registrant</w:t>
            </w:r>
          </w:p>
        </w:tc>
        <w:tc>
          <w:tcPr>
            <w:tcW w:w="3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color w:val="auto"/>
              </w:rPr>
              <w:t>​</w:t>
            </w:r>
          </w:p>
        </w:tc>
      </w:tr>
      <w:tr>
        <w:trPr>
          <w:trHeight w:val="128"/>
        </w:trPr>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5460" w:type="dxa"/>
            <w:vAlign w:val="bottom"/>
            <w:tcBorders>
              <w:bottom w:val="single" w:sz="8" w:color="auto"/>
            </w:tcBorders>
            <w:gridSpan w:val="2"/>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77"/>
        </w:trPr>
        <w:tc>
          <w:tcPr>
            <w:tcW w:w="240" w:type="dxa"/>
            <w:vAlign w:val="bottom"/>
            <w:tcBorders>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shd w:val="clear" w:color="auto" w:fill="E5E5E5"/>
          </w:tcPr>
          <w:p>
            <w:pPr>
              <w:spacing w:after="0"/>
              <w:rPr>
                <w:sz w:val="24"/>
                <w:szCs w:val="24"/>
                <w:color w:val="auto"/>
              </w:rPr>
            </w:pPr>
          </w:p>
        </w:tc>
        <w:tc>
          <w:tcPr>
            <w:tcW w:w="220" w:type="dxa"/>
            <w:vAlign w:val="bottom"/>
            <w:tcBorders>
              <w:bottom w:val="single" w:sz="8" w:color="auto"/>
              <w:right w:val="single" w:sz="8" w:color="E5E5E5"/>
            </w:tcBorders>
            <w:shd w:val="clear" w:color="auto" w:fill="E5E5E5"/>
          </w:tcPr>
          <w:p>
            <w:pPr>
              <w:spacing w:after="0"/>
              <w:rPr>
                <w:sz w:val="24"/>
                <w:szCs w:val="24"/>
                <w:color w:val="auto"/>
              </w:rPr>
            </w:pPr>
          </w:p>
        </w:tc>
        <w:tc>
          <w:tcPr>
            <w:tcW w:w="2500" w:type="dxa"/>
            <w:vAlign w:val="bottom"/>
            <w:tcBorders>
              <w:bottom w:val="single" w:sz="8" w:color="auto"/>
            </w:tcBorders>
            <w:shd w:val="clear" w:color="auto" w:fill="E5E5E5"/>
          </w:tcPr>
          <w:p>
            <w:pPr>
              <w:spacing w:after="0"/>
              <w:rPr>
                <w:sz w:val="24"/>
                <w:szCs w:val="24"/>
                <w:color w:val="auto"/>
              </w:rPr>
            </w:pPr>
          </w:p>
        </w:tc>
        <w:tc>
          <w:tcPr>
            <w:tcW w:w="5460" w:type="dxa"/>
            <w:vAlign w:val="bottom"/>
            <w:tcBorders>
              <w:bottom w:val="single" w:sz="8" w:color="auto"/>
            </w:tcBorders>
            <w:gridSpan w:val="2"/>
            <w:shd w:val="clear" w:color="auto" w:fill="E5E5E5"/>
          </w:tcPr>
          <w:p>
            <w:pPr>
              <w:jc w:val="center"/>
              <w:ind w:right="2959"/>
              <w:spacing w:after="0"/>
              <w:rPr>
                <w:sz w:val="20"/>
                <w:szCs w:val="20"/>
                <w:color w:val="auto"/>
              </w:rPr>
            </w:pPr>
            <w:r>
              <w:rPr>
                <w:rFonts w:ascii="Arial" w:cs="Arial" w:eastAsia="Arial" w:hAnsi="Arial"/>
                <w:sz w:val="15"/>
                <w:szCs w:val="15"/>
                <w:b w:val="1"/>
                <w:bCs w:val="1"/>
                <w:color w:val="auto"/>
              </w:rPr>
              <w:t>Check the appropriate box:</w:t>
            </w:r>
          </w:p>
        </w:tc>
        <w:tc>
          <w:tcPr>
            <w:tcW w:w="360" w:type="dxa"/>
            <w:vAlign w:val="bottom"/>
            <w:tcBorders>
              <w:bottom w:val="single" w:sz="8" w:color="auto"/>
              <w:right w:val="single" w:sz="8" w:color="auto"/>
            </w:tcBorders>
            <w:shd w:val="clear" w:color="auto" w:fill="E5E5E5"/>
          </w:tcPr>
          <w:p>
            <w:pPr>
              <w:ind w:left="28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4"/>
                <w:szCs w:val="24"/>
                <w:color w:val="auto"/>
              </w:rPr>
            </w:pPr>
          </w:p>
        </w:tc>
      </w:tr>
      <w:tr>
        <w:trPr>
          <w:trHeight w:val="237"/>
        </w:trPr>
        <w:tc>
          <w:tcPr>
            <w:tcW w:w="2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Preliminary Proxy Statement</w:t>
            </w:r>
          </w:p>
        </w:tc>
        <w:tc>
          <w:tcPr>
            <w:tcW w:w="16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6"/>
        </w:trPr>
        <w:tc>
          <w:tcPr>
            <w:tcW w:w="2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7960" w:type="dxa"/>
            <w:vAlign w:val="bottom"/>
            <w:tcBorders>
              <w:bottom w:val="single" w:sz="8" w:color="auto"/>
            </w:tcBorders>
            <w:gridSpan w:val="3"/>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CONFIDENTIAL, FOR USE OF THE COMMISSION ONLY (AS PERMITTED BY RULE 14a-6(E)(2))</w:t>
            </w:r>
          </w:p>
        </w:tc>
        <w:tc>
          <w:tcPr>
            <w:tcW w:w="3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2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Definitive Proxy Statement</w:t>
            </w:r>
          </w:p>
        </w:tc>
        <w:tc>
          <w:tcPr>
            <w:tcW w:w="16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6"/>
        </w:trPr>
        <w:tc>
          <w:tcPr>
            <w:tcW w:w="2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Definitive Additional Materials</w:t>
            </w:r>
          </w:p>
        </w:tc>
        <w:tc>
          <w:tcPr>
            <w:tcW w:w="16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64"/>
        </w:trPr>
        <w:tc>
          <w:tcPr>
            <w:tcW w:w="2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140" w:type="dxa"/>
            <w:vAlign w:val="bottom"/>
            <w:tcBorders>
              <w:bottom w:val="single" w:sz="8" w:color="auto"/>
            </w:tcBorders>
            <w:gridSpan w:val="2"/>
          </w:tcPr>
          <w:p>
            <w:pPr>
              <w:ind w:left="4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Soliciting Material under §240.14a-12</w:t>
            </w:r>
          </w:p>
        </w:tc>
        <w:tc>
          <w:tcPr>
            <w:tcW w:w="382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r>
    </w:tbl>
    <w:p>
      <w:pPr>
        <w:spacing w:after="0" w:line="277" w:lineRule="exact"/>
        <w:rPr>
          <w:sz w:val="24"/>
          <w:szCs w:val="24"/>
          <w:color w:val="auto"/>
        </w:rPr>
      </w:pPr>
    </w:p>
    <w:p>
      <w:pPr>
        <w:ind w:left="3280"/>
        <w:spacing w:after="0"/>
        <w:rPr>
          <w:sz w:val="20"/>
          <w:szCs w:val="20"/>
          <w:color w:val="auto"/>
        </w:rPr>
      </w:pPr>
      <w:r>
        <w:rPr>
          <w:rFonts w:ascii="Arial" w:cs="Arial" w:eastAsia="Arial" w:hAnsi="Arial"/>
          <w:sz w:val="40"/>
          <w:szCs w:val="40"/>
          <w:b w:val="1"/>
          <w:bCs w:val="1"/>
          <w:color w:val="auto"/>
        </w:rPr>
        <w:t>UPBOUND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106680</wp:posOffset>
            </wp:positionV>
            <wp:extent cx="123444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66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86" w:lineRule="exact"/>
        <w:rPr>
          <w:sz w:val="24"/>
          <w:szCs w:val="24"/>
          <w:color w:val="auto"/>
        </w:rPr>
      </w:pPr>
    </w:p>
    <w:tbl>
      <w:tblPr>
        <w:tblLayout w:type="fixed"/>
        <w:tblInd w:w="770" w:type="dxa"/>
        <w:tblCellMar>
          <w:top w:w="0" w:type="dxa"/>
          <w:left w:w="0" w:type="dxa"/>
          <w:bottom w:w="0" w:type="dxa"/>
          <w:right w:w="0" w:type="dxa"/>
        </w:tblCellMar>
      </w:tblPr>
      <w:tr>
        <w:trPr>
          <w:trHeight w:val="297"/>
        </w:trPr>
        <w:tc>
          <w:tcPr>
            <w:tcW w:w="300" w:type="dxa"/>
            <w:vAlign w:val="bottom"/>
            <w:tcBorders>
              <w:top w:val="single" w:sz="8" w:color="auto"/>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520" w:type="dxa"/>
            <w:vAlign w:val="bottom"/>
            <w:tcBorders>
              <w:top w:val="single" w:sz="8" w:color="auto"/>
              <w:bottom w:val="single" w:sz="8" w:color="auto"/>
            </w:tcBorders>
            <w:shd w:val="clear" w:color="auto" w:fill="E5E5E5"/>
          </w:tcPr>
          <w:p>
            <w:pPr>
              <w:spacing w:after="0"/>
              <w:rPr>
                <w:sz w:val="24"/>
                <w:szCs w:val="24"/>
                <w:color w:val="auto"/>
              </w:rPr>
            </w:pPr>
          </w:p>
        </w:tc>
        <w:tc>
          <w:tcPr>
            <w:tcW w:w="280" w:type="dxa"/>
            <w:vAlign w:val="bottom"/>
            <w:tcBorders>
              <w:top w:val="single" w:sz="8" w:color="auto"/>
              <w:bottom w:val="single" w:sz="8" w:color="auto"/>
              <w:right w:val="single" w:sz="8" w:color="E5E5E5"/>
            </w:tcBorders>
            <w:shd w:val="clear" w:color="auto" w:fill="E5E5E5"/>
          </w:tcPr>
          <w:p>
            <w:pPr>
              <w:spacing w:after="0"/>
              <w:rPr>
                <w:sz w:val="24"/>
                <w:szCs w:val="24"/>
                <w:color w:val="auto"/>
              </w:rPr>
            </w:pPr>
          </w:p>
        </w:tc>
        <w:tc>
          <w:tcPr>
            <w:tcW w:w="7380" w:type="dxa"/>
            <w:vAlign w:val="bottom"/>
            <w:tcBorders>
              <w:top w:val="single" w:sz="8" w:color="auto"/>
              <w:bottom w:val="single" w:sz="8" w:color="auto"/>
            </w:tcBorders>
            <w:shd w:val="clear" w:color="auto" w:fill="E5E5E5"/>
          </w:tcPr>
          <w:p>
            <w:pPr>
              <w:ind w:left="1640"/>
              <w:spacing w:after="0"/>
              <w:rPr>
                <w:sz w:val="20"/>
                <w:szCs w:val="20"/>
                <w:color w:val="auto"/>
              </w:rPr>
            </w:pPr>
            <w:r>
              <w:rPr>
                <w:rFonts w:ascii="Arial" w:cs="Arial" w:eastAsia="Arial" w:hAnsi="Arial"/>
                <w:sz w:val="15"/>
                <w:szCs w:val="15"/>
                <w:b w:val="1"/>
                <w:bCs w:val="1"/>
                <w:color w:val="auto"/>
              </w:rPr>
              <w:t>Payment of Filing Fee (Check all boxes that apply):</w:t>
            </w:r>
          </w:p>
        </w:tc>
        <w:tc>
          <w:tcPr>
            <w:tcW w:w="720" w:type="dxa"/>
            <w:vAlign w:val="bottom"/>
            <w:tcBorders>
              <w:top w:val="single" w:sz="8" w:color="auto"/>
              <w:bottom w:val="single" w:sz="8" w:color="auto"/>
              <w:right w:val="single" w:sz="8" w:color="auto"/>
            </w:tcBorders>
            <w:shd w:val="clear" w:color="auto" w:fill="E5E5E5"/>
          </w:tcPr>
          <w:p>
            <w:pPr>
              <w:ind w:left="640"/>
              <w:spacing w:after="0"/>
              <w:rPr>
                <w:sz w:val="20"/>
                <w:szCs w:val="20"/>
                <w:color w:val="auto"/>
              </w:rPr>
            </w:pPr>
            <w:r>
              <w:rPr>
                <w:rFonts w:ascii="Arial" w:cs="Arial" w:eastAsia="Arial" w:hAnsi="Arial"/>
                <w:sz w:val="15"/>
                <w:szCs w:val="15"/>
                <w:b w:val="1"/>
                <w:bCs w:val="1"/>
                <w:color w:val="auto"/>
              </w:rPr>
              <w:t>​</w:t>
            </w:r>
          </w:p>
        </w:tc>
      </w:tr>
      <w:tr>
        <w:trPr>
          <w:trHeight w:val="236"/>
        </w:trPr>
        <w:tc>
          <w:tcPr>
            <w:tcW w:w="3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738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No fee required.</w:t>
            </w:r>
          </w:p>
        </w:tc>
        <w:tc>
          <w:tcPr>
            <w:tcW w:w="7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6"/>
                <w:szCs w:val="16"/>
                <w:color w:val="auto"/>
              </w:rPr>
              <w:t>​</w:t>
            </w:r>
          </w:p>
        </w:tc>
      </w:tr>
      <w:tr>
        <w:trPr>
          <w:trHeight w:val="237"/>
        </w:trPr>
        <w:tc>
          <w:tcPr>
            <w:tcW w:w="3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738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Fee paid previously with preliminary materials.</w:t>
            </w:r>
          </w:p>
        </w:tc>
        <w:tc>
          <w:tcPr>
            <w:tcW w:w="7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6"/>
                <w:szCs w:val="16"/>
                <w:color w:val="auto"/>
              </w:rPr>
              <w:t>​</w:t>
            </w:r>
          </w:p>
        </w:tc>
      </w:tr>
      <w:tr>
        <w:trPr>
          <w:trHeight w:val="263"/>
        </w:trPr>
        <w:tc>
          <w:tcPr>
            <w:tcW w:w="3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73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Fee computed in exhibit required by Item 25(b) per Exchange Act Rules 14a-6(i)(1) and 0-11.</w:t>
            </w:r>
          </w:p>
        </w:tc>
        <w:tc>
          <w:tcPr>
            <w:tcW w:w="7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6"/>
                <w:szCs w:val="16"/>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3313430</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205" w:right="131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329565</wp:posOffset>
            </wp:positionV>
            <wp:extent cx="1234440"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UPBOUND GROUP, INC.</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5501 Headquarters Drive</w: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Plano, Texas 75024</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Dear Fellow Stockholder:</w:t>
      </w:r>
    </w:p>
    <w:p>
      <w:pPr>
        <w:spacing w:after="0" w:line="127"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It is our pleasure to invite you to attend the 2026 Annual Meeting of Stockholders (the “2026 Annual Meeting”) of Upbound Group, Inc. The 2026 Annual Meeting will be held on Tuesday, June 2, 2026, at 8:00 a.m., Central Time, at the Upbound Group, Inc. Field Support Center, which is located, along with our principal executive offices, at 5501 Headquarters Drive, Plano, Texas 75024.</w:t>
      </w:r>
    </w:p>
    <w:p>
      <w:pPr>
        <w:spacing w:after="0" w:line="73"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In connection with the 2026 Annual Meeting, the attached Notice of Annual Meeting and Proxy Statement describe the business items we plan to address at the meeting. We also plan to have a question and answer session during which our stockholders will have the opportunity to ask questions of management regarding our business.</w:t>
      </w:r>
    </w:p>
    <w:p>
      <w:pPr>
        <w:spacing w:after="0" w:line="70"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In accordance with the Securities and Exchange Commission’s “Notice and Access” model, we are furnishing proxy materials to our stockholders via the Internet. On or about April 21, 2026, we began mailing a Notice of Internet Availability of Proxy Materials detailing how to access the proxy materials electronically and how to submit your proxy via the Internet. The Notice of Internet Availability of Proxy Materials also provides instructions on how to request and obtain paper copies of the proxy materials and proxy card or voting instruction form, as applicable. We believe this process provides our stockholders with a convenient way to access the proxy materials and submit their proxies online, while allowing us to reduce our environmental impact as well as the costs of printing and distribution.</w:t>
      </w:r>
    </w:p>
    <w:p>
      <w:pPr>
        <w:spacing w:after="0" w:line="68"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so we encourage you to review the information contained in the proxy materials and submit your</w:t>
      </w:r>
      <w:r>
        <w:rPr>
          <w:rFonts w:ascii="Arial" w:cs="Arial" w:eastAsia="Arial" w:hAnsi="Arial"/>
          <w:sz w:val="16"/>
          <w:szCs w:val="16"/>
          <w:b w:val="1"/>
          <w:bCs w:val="1"/>
          <w:color w:val="auto"/>
        </w:rPr>
        <w:t xml:space="preserve"> </w:t>
      </w:r>
      <w:r>
        <w:rPr>
          <w:rFonts w:ascii="Arial" w:cs="Arial" w:eastAsia="Arial" w:hAnsi="Arial"/>
          <w:sz w:val="16"/>
          <w:szCs w:val="16"/>
          <w:color w:val="auto"/>
        </w:rPr>
        <w:t>proxy, regardless of the number of shares you own. It is important that beneficial owners of our common stock instruct their brokers on how they want to vote their shares. Please note that you will need the control number provided on your Notice of Internet Availability of Proxy Materials in order to submit your proxy online.</w:t>
      </w:r>
    </w:p>
    <w:p>
      <w:pPr>
        <w:spacing w:after="0" w:line="73"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4500" w:type="dxa"/>
            <w:vAlign w:val="bottom"/>
          </w:tcPr>
          <w:p>
            <w:pPr>
              <w:spacing w:after="0"/>
              <w:rPr>
                <w:sz w:val="20"/>
                <w:szCs w:val="20"/>
                <w:color w:val="auto"/>
              </w:rPr>
            </w:pPr>
            <w:r>
              <w:rPr>
                <w:rFonts w:ascii="Arial" w:cs="Arial" w:eastAsia="Arial" w:hAnsi="Arial"/>
                <w:sz w:val="16"/>
                <w:szCs w:val="16"/>
                <w:color w:val="auto"/>
              </w:rPr>
              <w:t>We look forward to seeing you on June 2, 2026.</w:t>
            </w: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10"/>
        </w:trPr>
        <w:tc>
          <w:tcPr>
            <w:tcW w:w="4500" w:type="dxa"/>
            <w:vAlign w:val="bottom"/>
          </w:tcPr>
          <w:p>
            <w:pPr>
              <w:spacing w:after="0"/>
              <w:rPr>
                <w:sz w:val="20"/>
                <w:szCs w:val="20"/>
                <w:color w:val="auto"/>
              </w:rPr>
            </w:pPr>
            <w:r>
              <w:rPr>
                <w:rFonts w:ascii="Arial" w:cs="Arial" w:eastAsia="Arial" w:hAnsi="Arial"/>
                <w:sz w:val="16"/>
                <w:szCs w:val="16"/>
                <w:color w:val="auto"/>
              </w:rPr>
              <w:t>Sincerely,</w:t>
            </w:r>
          </w:p>
        </w:tc>
        <w:tc>
          <w:tcPr>
            <w:tcW w:w="2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4500" w:type="dxa"/>
            <w:vAlign w:val="bottom"/>
          </w:tcPr>
          <w:p>
            <w:pPr>
              <w:spacing w:after="0"/>
              <w:rPr>
                <w:sz w:val="20"/>
                <w:szCs w:val="20"/>
                <w:color w:val="auto"/>
              </w:rPr>
            </w:pPr>
            <w:r>
              <w:rPr>
                <w:rFonts w:ascii="Arial" w:cs="Arial" w:eastAsia="Arial" w:hAnsi="Arial"/>
                <w:sz w:val="16"/>
                <w:szCs w:val="16"/>
                <w:color w:val="auto"/>
              </w:rPr>
              <w:t>/s/​ Jeffrey Brown</w:t>
            </w:r>
          </w:p>
        </w:tc>
        <w:tc>
          <w:tcPr>
            <w:tcW w:w="4700" w:type="dxa"/>
            <w:vAlign w:val="bottom"/>
            <w:gridSpan w:val="2"/>
          </w:tcPr>
          <w:p>
            <w:pPr>
              <w:spacing w:after="0"/>
              <w:rPr>
                <w:sz w:val="20"/>
                <w:szCs w:val="20"/>
                <w:color w:val="auto"/>
              </w:rPr>
            </w:pPr>
            <w:r>
              <w:rPr>
                <w:rFonts w:ascii="Arial" w:cs="Arial" w:eastAsia="Arial" w:hAnsi="Arial"/>
                <w:sz w:val="16"/>
                <w:szCs w:val="16"/>
                <w:color w:val="auto"/>
              </w:rPr>
              <w:t>​ ​ /s/ Fahmi Karam</w:t>
            </w:r>
          </w:p>
        </w:tc>
        <w:tc>
          <w:tcPr>
            <w:tcW w:w="40" w:type="dxa"/>
            <w:vAlign w:val="bottom"/>
          </w:tcPr>
          <w:p>
            <w:pPr>
              <w:spacing w:after="0"/>
              <w:rPr>
                <w:sz w:val="20"/>
                <w:szCs w:val="20"/>
                <w:color w:val="auto"/>
              </w:rPr>
            </w:pPr>
            <w:r>
              <w:rPr>
                <w:rFonts w:ascii="Arial" w:cs="Arial" w:eastAsia="Arial" w:hAnsi="Arial"/>
                <w:sz w:val="16"/>
                <w:szCs w:val="16"/>
                <w:color w:val="auto"/>
              </w:rPr>
              <w:t>​</w:t>
            </w:r>
          </w:p>
        </w:tc>
      </w:tr>
      <w:tr>
        <w:trPr>
          <w:trHeight w:val="56"/>
        </w:trPr>
        <w:tc>
          <w:tcPr>
            <w:tcW w:w="45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6"/>
                <w:szCs w:val="16"/>
                <w:color w:val="auto"/>
              </w:rPr>
              <w:t>Jeffrey Brown</w:t>
            </w:r>
          </w:p>
        </w:tc>
        <w:tc>
          <w:tcPr>
            <w:tcW w:w="2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Fahmi Karam</w:t>
            </w:r>
          </w:p>
        </w:tc>
        <w:tc>
          <w:tcPr>
            <w:tcW w:w="40" w:type="dxa"/>
            <w:vAlign w:val="bottom"/>
          </w:tcPr>
          <w:p>
            <w:pPr>
              <w:spacing w:after="0"/>
              <w:rPr>
                <w:sz w:val="18"/>
                <w:szCs w:val="18"/>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6"/>
                <w:szCs w:val="16"/>
                <w:i w:val="1"/>
                <w:iCs w:val="1"/>
                <w:color w:val="auto"/>
              </w:rPr>
              <w:t>Chairman of the Board</w:t>
            </w:r>
          </w:p>
        </w:tc>
        <w:tc>
          <w:tcPr>
            <w:tcW w:w="2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Chief Executive Officer and Director</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3726180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329565</wp:posOffset>
            </wp:positionV>
            <wp:extent cx="205740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230"/>
        </w:trPr>
        <w:tc>
          <w:tcPr>
            <w:tcW w:w="9600" w:type="dxa"/>
            <w:vAlign w:val="bottom"/>
            <w:shd w:val="clear" w:color="auto" w:fill="D8D8D8"/>
          </w:tcPr>
          <w:p>
            <w:pPr>
              <w:spacing w:after="0"/>
              <w:rPr>
                <w:sz w:val="20"/>
                <w:szCs w:val="20"/>
                <w:color w:val="auto"/>
              </w:rPr>
            </w:pPr>
            <w:r>
              <w:rPr>
                <w:rFonts w:ascii="Arial" w:cs="Arial" w:eastAsia="Arial" w:hAnsi="Arial"/>
                <w:sz w:val="107"/>
                <w:szCs w:val="107"/>
                <w:b w:val="1"/>
                <w:bCs w:val="1"/>
                <w:color w:val="auto"/>
                <w:vertAlign w:val="superscript"/>
              </w:rPr>
              <w:t>​</w:t>
            </w:r>
            <w:r>
              <w:rPr>
                <w:rFonts w:ascii="Arial" w:cs="Arial" w:eastAsia="Arial" w:hAnsi="Arial"/>
                <w:sz w:val="54"/>
                <w:szCs w:val="54"/>
                <w:b w:val="1"/>
                <w:bCs w:val="1"/>
                <w:color w:val="auto"/>
              </w:rPr>
              <w:t xml:space="preserve">  Notice of 2026 Annual Meeting of</w:t>
            </w:r>
          </w:p>
        </w:tc>
        <w:tc>
          <w:tcPr>
            <w:tcW w:w="1100" w:type="dxa"/>
            <w:vAlign w:val="bottom"/>
            <w:shd w:val="clear" w:color="auto" w:fill="D8D8D8"/>
          </w:tcPr>
          <w:p>
            <w:pPr>
              <w:ind w:left="360"/>
              <w:spacing w:after="0"/>
              <w:rPr>
                <w:sz w:val="20"/>
                <w:szCs w:val="20"/>
                <w:color w:val="auto"/>
              </w:rPr>
            </w:pPr>
            <w:r>
              <w:rPr>
                <w:rFonts w:ascii="Arial" w:cs="Arial" w:eastAsia="Arial" w:hAnsi="Arial"/>
                <w:sz w:val="54"/>
                <w:szCs w:val="54"/>
                <w:b w:val="1"/>
                <w:bCs w:val="1"/>
                <w:color w:val="auto"/>
              </w:rPr>
              <w:t>​</w:t>
            </w:r>
          </w:p>
        </w:tc>
      </w:tr>
      <w:tr>
        <w:trPr>
          <w:trHeight w:val="747"/>
        </w:trPr>
        <w:tc>
          <w:tcPr>
            <w:tcW w:w="9600" w:type="dxa"/>
            <w:vAlign w:val="bottom"/>
            <w:shd w:val="clear" w:color="auto" w:fill="D8D8D8"/>
          </w:tcPr>
          <w:p>
            <w:pPr>
              <w:ind w:left="760"/>
              <w:spacing w:after="0"/>
              <w:rPr>
                <w:sz w:val="20"/>
                <w:szCs w:val="20"/>
                <w:color w:val="auto"/>
              </w:rPr>
            </w:pPr>
            <w:r>
              <w:rPr>
                <w:rFonts w:ascii="Arial" w:cs="Arial" w:eastAsia="Arial" w:hAnsi="Arial"/>
                <w:sz w:val="54"/>
                <w:szCs w:val="54"/>
                <w:b w:val="1"/>
                <w:bCs w:val="1"/>
                <w:color w:val="auto"/>
              </w:rPr>
              <w:t>Stockholders</w:t>
            </w:r>
          </w:p>
        </w:tc>
        <w:tc>
          <w:tcPr>
            <w:tcW w:w="1100" w:type="dxa"/>
            <w:vAlign w:val="bottom"/>
            <w:shd w:val="clear" w:color="auto" w:fill="D8D8D8"/>
          </w:tcPr>
          <w:p>
            <w:pPr>
              <w:spacing w:after="0"/>
              <w:rPr>
                <w:sz w:val="24"/>
                <w:szCs w:val="24"/>
                <w:color w:val="auto"/>
              </w:rPr>
            </w:pPr>
          </w:p>
        </w:tc>
      </w:tr>
      <w:tr>
        <w:trPr>
          <w:trHeight w:val="446"/>
        </w:trPr>
        <w:tc>
          <w:tcPr>
            <w:tcW w:w="9600" w:type="dxa"/>
            <w:vAlign w:val="bottom"/>
            <w:shd w:val="clear" w:color="auto" w:fill="D8D8D8"/>
          </w:tcPr>
          <w:p>
            <w:pPr>
              <w:spacing w:after="0"/>
              <w:rPr>
                <w:sz w:val="24"/>
                <w:szCs w:val="24"/>
                <w:color w:val="auto"/>
              </w:rPr>
            </w:pPr>
          </w:p>
        </w:tc>
        <w:tc>
          <w:tcPr>
            <w:tcW w:w="1100" w:type="dxa"/>
            <w:vAlign w:val="bottom"/>
            <w:shd w:val="clear" w:color="auto" w:fill="D8D8D8"/>
          </w:tcPr>
          <w:p>
            <w:pPr>
              <w:spacing w:after="0"/>
              <w:rPr>
                <w:sz w:val="24"/>
                <w:szCs w:val="24"/>
                <w:color w:val="auto"/>
              </w:rPr>
            </w:pPr>
          </w:p>
        </w:tc>
      </w:tr>
    </w:tbl>
    <w:p>
      <w:pPr>
        <w:spacing w:after="0" w:line="17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Tuesday, June 2, 2026</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8:00 a.m., Central Time</w:t>
      </w:r>
    </w:p>
    <w:p>
      <w:pPr>
        <w:spacing w:after="0" w:line="68" w:lineRule="exact"/>
        <w:rPr>
          <w:sz w:val="20"/>
          <w:szCs w:val="20"/>
          <w:color w:val="auto"/>
        </w:rPr>
      </w:pPr>
    </w:p>
    <w:p>
      <w:pPr>
        <w:jc w:val="both"/>
        <w:ind w:left="760" w:right="740"/>
        <w:spacing w:after="0" w:line="253" w:lineRule="auto"/>
        <w:rPr>
          <w:sz w:val="20"/>
          <w:szCs w:val="20"/>
          <w:color w:val="auto"/>
        </w:rPr>
      </w:pPr>
      <w:r>
        <w:rPr>
          <w:rFonts w:ascii="Arial" w:cs="Arial" w:eastAsia="Arial" w:hAnsi="Arial"/>
          <w:sz w:val="18"/>
          <w:szCs w:val="18"/>
          <w:color w:val="auto"/>
        </w:rPr>
        <w:t>The 2026 annual meeting of stockholders of Upbound Group, Inc. will be held on Tuesday, June 2, 2026, at 8:00 a.m., Central Time, at the Upbound Group, Inc. Field Support Center, which is located, along with our principal executive offices, at 5501 Headquarters Drive, Plano, Texas 75024, for the following purposes:</w:t>
      </w:r>
    </w:p>
    <w:p>
      <w:pPr>
        <w:spacing w:after="0" w:line="61" w:lineRule="exact"/>
        <w:rPr>
          <w:sz w:val="20"/>
          <w:szCs w:val="20"/>
          <w:color w:val="auto"/>
        </w:rPr>
      </w:pPr>
    </w:p>
    <w:p>
      <w:pPr>
        <w:ind w:left="1120" w:hanging="358"/>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the seven directors nominated by our board of directors;</w:t>
      </w:r>
    </w:p>
    <w:p>
      <w:pPr>
        <w:spacing w:after="0" w:line="90" w:lineRule="exact"/>
        <w:rPr>
          <w:rFonts w:ascii="Arial" w:cs="Arial" w:eastAsia="Arial" w:hAnsi="Arial"/>
          <w:sz w:val="18"/>
          <w:szCs w:val="18"/>
          <w:color w:val="auto"/>
        </w:rPr>
      </w:pPr>
    </w:p>
    <w:p>
      <w:pPr>
        <w:ind w:left="1120" w:right="760" w:hanging="358"/>
        <w:spacing w:after="0" w:line="271"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Audit &amp; Risk Committee’s selection of Deloitte &amp; Touche LLP as our independent registered public accounting firm for the year ending December 31, 2026;</w:t>
      </w:r>
    </w:p>
    <w:p>
      <w:pPr>
        <w:spacing w:after="0" w:line="32" w:lineRule="exact"/>
        <w:rPr>
          <w:rFonts w:ascii="Arial" w:cs="Arial" w:eastAsia="Arial" w:hAnsi="Arial"/>
          <w:sz w:val="18"/>
          <w:szCs w:val="18"/>
          <w:color w:val="auto"/>
        </w:rPr>
      </w:pPr>
    </w:p>
    <w:p>
      <w:pPr>
        <w:ind w:left="1120" w:right="740" w:hanging="358"/>
        <w:spacing w:after="0" w:line="271"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conduct an advisory vote approving the compensation of the named executive officers for the year ended December 31, 2025, as set forth in the proxy statement;</w:t>
      </w:r>
    </w:p>
    <w:p>
      <w:pPr>
        <w:spacing w:after="0" w:line="45" w:lineRule="exact"/>
        <w:rPr>
          <w:rFonts w:ascii="Arial" w:cs="Arial" w:eastAsia="Arial" w:hAnsi="Arial"/>
          <w:sz w:val="18"/>
          <w:szCs w:val="18"/>
          <w:color w:val="auto"/>
        </w:rPr>
      </w:pPr>
    </w:p>
    <w:p>
      <w:pPr>
        <w:ind w:left="1120" w:hanging="358"/>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conduct an advisory vote on the frequency of future advisory votes on executive compensation;</w:t>
      </w:r>
    </w:p>
    <w:p>
      <w:pPr>
        <w:spacing w:after="0" w:line="90" w:lineRule="exact"/>
        <w:rPr>
          <w:rFonts w:ascii="Arial" w:cs="Arial" w:eastAsia="Arial" w:hAnsi="Arial"/>
          <w:sz w:val="18"/>
          <w:szCs w:val="18"/>
          <w:color w:val="auto"/>
        </w:rPr>
      </w:pPr>
    </w:p>
    <w:p>
      <w:pPr>
        <w:ind w:left="1120" w:hanging="358"/>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Upbound Group, Inc. 2026 Long-Term Incentive Plan; and</w:t>
      </w:r>
    </w:p>
    <w:p>
      <w:pPr>
        <w:spacing w:after="0" w:line="90" w:lineRule="exact"/>
        <w:rPr>
          <w:rFonts w:ascii="Arial" w:cs="Arial" w:eastAsia="Arial" w:hAnsi="Arial"/>
          <w:sz w:val="18"/>
          <w:szCs w:val="18"/>
          <w:color w:val="auto"/>
        </w:rPr>
      </w:pPr>
    </w:p>
    <w:p>
      <w:pPr>
        <w:ind w:left="1120" w:right="740" w:hanging="358"/>
        <w:spacing w:after="0" w:line="271"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other business that properly comes before the meeting and any adjournments or postponements thereof.</w:t>
      </w:r>
    </w:p>
    <w:p>
      <w:pPr>
        <w:spacing w:after="0" w:line="32" w:lineRule="exact"/>
        <w:rPr>
          <w:sz w:val="20"/>
          <w:szCs w:val="20"/>
          <w:color w:val="auto"/>
        </w:rPr>
      </w:pPr>
    </w:p>
    <w:p>
      <w:pPr>
        <w:ind w:left="760" w:right="740"/>
        <w:spacing w:after="0" w:line="237" w:lineRule="auto"/>
        <w:rPr>
          <w:sz w:val="20"/>
          <w:szCs w:val="20"/>
          <w:color w:val="auto"/>
        </w:rPr>
      </w:pPr>
      <w:r>
        <w:rPr>
          <w:rFonts w:ascii="Arial" w:cs="Arial" w:eastAsia="Arial" w:hAnsi="Arial"/>
          <w:sz w:val="18"/>
          <w:szCs w:val="18"/>
          <w:color w:val="auto"/>
        </w:rPr>
        <w:t>The foregoing items of business are more fully described in the proxy statement, which is attached to, and made a part of, this notice. Our board of directors has fixed the close of business on April 7, 2026 as the record date for</w:t>
      </w:r>
    </w:p>
    <w:p>
      <w:pPr>
        <w:spacing w:after="0" w:line="1" w:lineRule="exact"/>
        <w:rPr>
          <w:sz w:val="20"/>
          <w:szCs w:val="20"/>
          <w:color w:val="auto"/>
        </w:rPr>
      </w:pPr>
    </w:p>
    <w:p>
      <w:pPr>
        <w:ind w:left="760" w:right="740"/>
        <w:spacing w:after="0" w:line="250" w:lineRule="auto"/>
        <w:rPr>
          <w:sz w:val="20"/>
          <w:szCs w:val="20"/>
          <w:color w:val="auto"/>
        </w:rPr>
      </w:pPr>
      <w:r>
        <w:rPr>
          <w:rFonts w:ascii="Arial" w:cs="Arial" w:eastAsia="Arial" w:hAnsi="Arial"/>
          <w:sz w:val="18"/>
          <w:szCs w:val="18"/>
          <w:color w:val="auto"/>
        </w:rPr>
        <w:t>determining the stockholders entitled to receive notice of, and to vote at, the 2026 Annual Meeting and at any and all adjournments or postponements thereof.</w:t>
      </w:r>
    </w:p>
    <w:p>
      <w:pPr>
        <w:spacing w:after="0" w:line="50" w:lineRule="exact"/>
        <w:rPr>
          <w:sz w:val="20"/>
          <w:szCs w:val="20"/>
          <w:color w:val="auto"/>
        </w:rPr>
      </w:pPr>
    </w:p>
    <w:p>
      <w:pPr>
        <w:ind w:left="760" w:right="740"/>
        <w:spacing w:after="0" w:line="237" w:lineRule="auto"/>
        <w:rPr>
          <w:sz w:val="20"/>
          <w:szCs w:val="20"/>
          <w:color w:val="auto"/>
        </w:rPr>
      </w:pPr>
      <w:r>
        <w:rPr>
          <w:rFonts w:ascii="Arial" w:cs="Arial" w:eastAsia="Arial" w:hAnsi="Arial"/>
          <w:sz w:val="18"/>
          <w:szCs w:val="18"/>
          <w:color w:val="auto"/>
        </w:rPr>
        <w:t>We are using the “Notice and Access” method of furnishing proxy materials to our stockholders via the Internet. Instructions on how to access and review the proxy materials on the Internet can be found on the Notice of Internet</w:t>
      </w:r>
    </w:p>
    <w:p>
      <w:pPr>
        <w:spacing w:after="0" w:line="1" w:lineRule="exact"/>
        <w:rPr>
          <w:sz w:val="20"/>
          <w:szCs w:val="20"/>
          <w:color w:val="auto"/>
        </w:rPr>
      </w:pPr>
    </w:p>
    <w:p>
      <w:pPr>
        <w:ind w:left="760" w:right="740"/>
        <w:spacing w:after="0" w:line="250" w:lineRule="auto"/>
        <w:rPr>
          <w:sz w:val="20"/>
          <w:szCs w:val="20"/>
          <w:color w:val="auto"/>
        </w:rPr>
      </w:pPr>
      <w:r>
        <w:rPr>
          <w:rFonts w:ascii="Arial" w:cs="Arial" w:eastAsia="Arial" w:hAnsi="Arial"/>
          <w:sz w:val="18"/>
          <w:szCs w:val="18"/>
          <w:color w:val="auto"/>
        </w:rPr>
        <w:t>Availability of Proxy Materials (the “Notice”) mailed to stockholders of record on or about April 21, 2026. The Notice also contains instructions on how to receive a paper copy of the proxy materials.</w:t>
      </w:r>
    </w:p>
    <w:p>
      <w:pPr>
        <w:spacing w:after="0" w:line="50" w:lineRule="exact"/>
        <w:rPr>
          <w:sz w:val="20"/>
          <w:szCs w:val="20"/>
          <w:color w:val="auto"/>
        </w:rPr>
      </w:pPr>
    </w:p>
    <w:p>
      <w:pPr>
        <w:ind w:left="760" w:right="740"/>
        <w:spacing w:after="0" w:line="237" w:lineRule="auto"/>
        <w:rPr>
          <w:sz w:val="20"/>
          <w:szCs w:val="20"/>
          <w:color w:val="auto"/>
        </w:rPr>
      </w:pPr>
      <w:r>
        <w:rPr>
          <w:rFonts w:ascii="Arial" w:cs="Arial" w:eastAsia="Arial" w:hAnsi="Arial"/>
          <w:sz w:val="18"/>
          <w:szCs w:val="18"/>
          <w:color w:val="auto"/>
        </w:rPr>
        <w:t>Your vote is important, and whether or not you plan to attend the 2026 Annual Meeting, please vote as promptly as possible. We encourage you to submit your proxy via the Internet, as it is the most convenient and cost-effective</w:t>
      </w:r>
    </w:p>
    <w:p>
      <w:pPr>
        <w:jc w:val="center"/>
        <w:ind w:right="-19"/>
        <w:spacing w:after="0" w:line="235" w:lineRule="auto"/>
        <w:rPr>
          <w:sz w:val="20"/>
          <w:szCs w:val="20"/>
          <w:color w:val="auto"/>
        </w:rPr>
      </w:pPr>
      <w:r>
        <w:rPr>
          <w:rFonts w:ascii="Arial" w:cs="Arial" w:eastAsia="Arial" w:hAnsi="Arial"/>
          <w:sz w:val="18"/>
          <w:szCs w:val="18"/>
          <w:color w:val="auto"/>
        </w:rPr>
        <w:t>method of voting. You may also submit your proxy by telephone or by mail (if you receive paper copies of the proxy</w:t>
      </w:r>
    </w:p>
    <w:p>
      <w:pPr>
        <w:spacing w:after="0" w:line="1" w:lineRule="exact"/>
        <w:rPr>
          <w:sz w:val="20"/>
          <w:szCs w:val="20"/>
          <w:color w:val="auto"/>
        </w:rPr>
      </w:pPr>
    </w:p>
    <w:p>
      <w:pPr>
        <w:ind w:left="760" w:right="740"/>
        <w:spacing w:after="0" w:line="237" w:lineRule="auto"/>
        <w:rPr>
          <w:sz w:val="20"/>
          <w:szCs w:val="20"/>
          <w:color w:val="auto"/>
        </w:rPr>
      </w:pPr>
      <w:r>
        <w:rPr>
          <w:rFonts w:ascii="Arial" w:cs="Arial" w:eastAsia="Arial" w:hAnsi="Arial"/>
          <w:sz w:val="18"/>
          <w:szCs w:val="18"/>
          <w:color w:val="auto"/>
        </w:rPr>
        <w:t>materials or request a paper proxy card). Instructions regarding all three methods of voting are included in the Notice, the proxy card and the proxy statement.</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Thank you in advance for voting and for your support of Upbound Group, Inc.</w:t>
      </w:r>
    </w:p>
    <w:p>
      <w:pPr>
        <w:spacing w:after="0" w:line="90"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By Order of the Board of Directors,​</w:t>
      </w:r>
    </w:p>
    <w:p>
      <w:pPr>
        <w:spacing w:after="0" w:line="90" w:lineRule="exact"/>
        <w:rPr>
          <w:sz w:val="20"/>
          <w:szCs w:val="20"/>
          <w:color w:val="auto"/>
        </w:rPr>
      </w:pPr>
    </w:p>
    <w:p>
      <w:pPr>
        <w:ind w:left="8320"/>
        <w:spacing w:after="0"/>
        <w:rPr>
          <w:sz w:val="20"/>
          <w:szCs w:val="20"/>
          <w:color w:val="auto"/>
        </w:rPr>
      </w:pPr>
      <w:r>
        <w:rPr>
          <w:rFonts w:ascii="Arial" w:cs="Arial" w:eastAsia="Arial" w:hAnsi="Arial"/>
          <w:sz w:val="18"/>
          <w:szCs w:val="18"/>
          <w:u w:val="single" w:color="auto"/>
          <w:color w:val="auto"/>
        </w:rPr>
        <w:t>/s/ Bryan Pechersky</w:t>
      </w:r>
    </w:p>
    <w:p>
      <w:pPr>
        <w:jc w:val="right"/>
        <w:ind w:right="740"/>
        <w:spacing w:after="0" w:line="234" w:lineRule="auto"/>
        <w:rPr>
          <w:sz w:val="20"/>
          <w:szCs w:val="20"/>
          <w:color w:val="auto"/>
        </w:rPr>
      </w:pPr>
      <w:r>
        <w:rPr>
          <w:rFonts w:ascii="Arial" w:cs="Arial" w:eastAsia="Arial" w:hAnsi="Arial"/>
          <w:sz w:val="18"/>
          <w:szCs w:val="18"/>
          <w:color w:val="auto"/>
        </w:rPr>
        <w:t>Bryan Pechersky</w:t>
      </w:r>
    </w:p>
    <w:p>
      <w:pPr>
        <w:jc w:val="right"/>
        <w:ind w:right="780"/>
        <w:spacing w:after="0" w:line="235" w:lineRule="auto"/>
        <w:rPr>
          <w:sz w:val="20"/>
          <w:szCs w:val="20"/>
          <w:color w:val="auto"/>
        </w:rPr>
      </w:pPr>
      <w:r>
        <w:rPr>
          <w:rFonts w:ascii="Arial" w:cs="Arial" w:eastAsia="Arial" w:hAnsi="Arial"/>
          <w:sz w:val="18"/>
          <w:szCs w:val="18"/>
          <w:color w:val="auto"/>
        </w:rPr>
        <w:t>Executive Vice President – General Counsel</w:t>
      </w:r>
    </w:p>
    <w:p>
      <w:pPr>
        <w:ind w:left="8000"/>
        <w:spacing w:after="0" w:line="235" w:lineRule="auto"/>
        <w:rPr>
          <w:sz w:val="20"/>
          <w:szCs w:val="20"/>
          <w:color w:val="auto"/>
        </w:rPr>
      </w:pPr>
      <w:r>
        <w:rPr>
          <w:rFonts w:ascii="Arial" w:cs="Arial" w:eastAsia="Arial" w:hAnsi="Arial"/>
          <w:sz w:val="18"/>
          <w:szCs w:val="18"/>
          <w:color w:val="auto"/>
        </w:rPr>
        <w:t>and Corporate Secretary</w:t>
      </w:r>
    </w:p>
    <w:p>
      <w:pPr>
        <w:ind w:left="8300"/>
        <w:spacing w:after="0" w:line="219" w:lineRule="auto"/>
        <w:rPr>
          <w:sz w:val="20"/>
          <w:szCs w:val="20"/>
          <w:color w:val="auto"/>
        </w:rPr>
      </w:pPr>
      <w:r>
        <w:rPr>
          <w:rFonts w:ascii="Arial" w:cs="Arial" w:eastAsia="Arial" w:hAnsi="Arial"/>
          <w:sz w:val="18"/>
          <w:szCs w:val="18"/>
          <w:color w:val="auto"/>
        </w:rPr>
        <w:t>Upbound Group, Inc.</w:t>
      </w:r>
    </w:p>
    <w:p>
      <w:pPr>
        <w:jc w:val="right"/>
        <w:ind w:right="740"/>
        <w:spacing w:after="0" w:line="235" w:lineRule="auto"/>
        <w:rPr>
          <w:sz w:val="20"/>
          <w:szCs w:val="20"/>
          <w:color w:val="auto"/>
        </w:rPr>
      </w:pPr>
      <w:r>
        <w:rPr>
          <w:rFonts w:ascii="Arial" w:cs="Arial" w:eastAsia="Arial" w:hAnsi="Arial"/>
          <w:sz w:val="18"/>
          <w:szCs w:val="18"/>
          <w:color w:val="auto"/>
        </w:rPr>
        <w:t>5501 Headquarters Drive, Plano, Texas 75024</w:t>
      </w:r>
    </w:p>
    <w:p>
      <w:pPr>
        <w:jc w:val="right"/>
        <w:ind w:right="680"/>
        <w:spacing w:after="0"/>
        <w:rPr>
          <w:sz w:val="20"/>
          <w:szCs w:val="20"/>
          <w:color w:val="auto"/>
        </w:rPr>
      </w:pPr>
      <w:r>
        <w:rPr>
          <w:rFonts w:ascii="Arial" w:cs="Arial" w:eastAsia="Arial" w:hAnsi="Arial"/>
          <w:sz w:val="18"/>
          <w:szCs w:val="18"/>
          <w:color w:val="auto"/>
        </w:rPr>
        <w:t>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700"/>
          </w:cols>
          <w:pgMar w:left="580" w:top="97" w:right="61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ind w:left="1980"/>
        <w:spacing w:after="0"/>
        <w:rPr>
          <w:sz w:val="20"/>
          <w:szCs w:val="20"/>
          <w:color w:val="auto"/>
        </w:rPr>
      </w:pPr>
      <w:r>
        <w:rPr>
          <w:rFonts w:ascii="Arial" w:cs="Arial" w:eastAsia="Arial" w:hAnsi="Arial"/>
          <w:sz w:val="18"/>
          <w:szCs w:val="18"/>
          <w:b w:val="1"/>
          <w:bCs w:val="1"/>
          <w:color w:val="auto"/>
        </w:rPr>
        <w:t>FOR THE 2026 ANNUAL MEETING OF STOCKHOLDERS TO BE HELD ON JUNE 2, 2026</w:t>
      </w:r>
    </w:p>
    <w:p>
      <w:pPr>
        <w:spacing w:after="0" w:line="126"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This Notice of Annual Meeting, the proxy statement and our annual report on Form 10-K for the year ended December 31, 2025 (the “2025 Form 10-K”) (which we are distributing in lieu of a separate annual report to</w:t>
      </w:r>
    </w:p>
    <w:p>
      <w:pPr>
        <w:ind w:left="760"/>
        <w:spacing w:after="0" w:line="235" w:lineRule="auto"/>
        <w:rPr>
          <w:sz w:val="20"/>
          <w:szCs w:val="20"/>
          <w:color w:val="auto"/>
        </w:rPr>
      </w:pPr>
      <w:r>
        <w:rPr>
          <w:rFonts w:ascii="Arial" w:cs="Arial" w:eastAsia="Arial" w:hAnsi="Arial"/>
          <w:sz w:val="18"/>
          <w:szCs w:val="18"/>
          <w:color w:val="auto"/>
        </w:rPr>
        <w:t xml:space="preserve">stockholders) are available on our website at </w:t>
      </w:r>
      <w:r>
        <w:rPr>
          <w:rFonts w:ascii="Arial" w:cs="Arial" w:eastAsia="Arial" w:hAnsi="Arial"/>
          <w:sz w:val="18"/>
          <w:szCs w:val="18"/>
          <w:i w:val="1"/>
          <w:iCs w:val="1"/>
          <w:color w:val="auto"/>
        </w:rPr>
        <w:t>investor.upbound.com</w:t>
      </w:r>
      <w:r>
        <w:rPr>
          <w:rFonts w:ascii="Arial" w:cs="Arial" w:eastAsia="Arial" w:hAnsi="Arial"/>
          <w:sz w:val="18"/>
          <w:szCs w:val="18"/>
          <w:color w:val="auto"/>
        </w:rPr>
        <w:t>, in the “Financials and Filings — Annual</w:t>
      </w:r>
    </w:p>
    <w:p>
      <w:pPr>
        <w:spacing w:after="0" w:line="1" w:lineRule="exact"/>
        <w:rPr>
          <w:sz w:val="20"/>
          <w:szCs w:val="20"/>
          <w:color w:val="auto"/>
        </w:rPr>
      </w:pPr>
    </w:p>
    <w:p>
      <w:pPr>
        <w:ind w:left="760" w:right="20"/>
        <w:spacing w:after="0" w:line="237" w:lineRule="auto"/>
        <w:rPr>
          <w:sz w:val="20"/>
          <w:szCs w:val="20"/>
          <w:color w:val="auto"/>
        </w:rPr>
      </w:pPr>
      <w:r>
        <w:rPr>
          <w:rFonts w:ascii="Arial" w:cs="Arial" w:eastAsia="Arial" w:hAnsi="Arial"/>
          <w:sz w:val="18"/>
          <w:szCs w:val="18"/>
          <w:color w:val="auto"/>
        </w:rPr>
        <w:t xml:space="preserve">Reports and Proxies” subsection. Additionally, you may access the Notice of Annual Meeting, the proxy statement and the 2025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7143750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0" w:type="dxa"/>
            <w:vAlign w:val="bottom"/>
          </w:tcPr>
          <w:p>
            <w:pPr>
              <w:spacing w:after="0"/>
              <w:rPr>
                <w:sz w:val="18"/>
                <w:szCs w:val="18"/>
                <w:color w:val="auto"/>
              </w:rPr>
            </w:pPr>
          </w:p>
        </w:tc>
        <w:tc>
          <w:tcPr>
            <w:tcW w:w="2020" w:type="dxa"/>
            <w:vAlign w:val="bottom"/>
            <w:gridSpan w:val="8"/>
          </w:tcPr>
          <w:p>
            <w:pPr>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6"/>
          </w:tcPr>
          <w:p>
            <w:pPr>
              <w:jc w:val="right"/>
              <w:ind w:right="628"/>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spacing w:after="0"/>
              <w:rPr>
                <w:sz w:val="24"/>
                <w:szCs w:val="24"/>
                <w:color w:val="auto"/>
              </w:rPr>
            </w:pPr>
          </w:p>
        </w:tc>
        <w:tc>
          <w:tcPr>
            <w:tcW w:w="202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20"/>
                <w:szCs w:val="20"/>
                <w:b w:val="1"/>
                <w:bCs w:val="1"/>
                <w:color w:val="0000EE"/>
              </w:rPr>
              <w:t>SUMMARY</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 w:type="dxa"/>
            <w:vAlign w:val="bottom"/>
            <w:tcBorders>
              <w:left w:val="single" w:sz="8" w:color="CCEEFF"/>
              <w:bottom w:val="single" w:sz="8" w:color="auto"/>
            </w:tcBorders>
            <w:shd w:val="clear" w:color="auto" w:fill="CCEEFF"/>
          </w:tcPr>
          <w:p>
            <w:pPr>
              <w:spacing w:after="0"/>
              <w:rPr>
                <w:sz w:val="24"/>
                <w:szCs w:val="24"/>
                <w:color w:val="auto"/>
              </w:rPr>
            </w:pPr>
          </w:p>
        </w:tc>
        <w:tc>
          <w:tcPr>
            <w:tcW w:w="160" w:type="dxa"/>
            <w:vAlign w:val="bottom"/>
            <w:tcBorders>
              <w:bottom w:val="single" w:sz="8" w:color="auto"/>
              <w:right w:val="single" w:sz="8" w:color="CCEEFF"/>
            </w:tcBorders>
            <w:shd w:val="clear" w:color="auto" w:fill="CCEEFF"/>
          </w:tcPr>
          <w:p>
            <w:pPr>
              <w:spacing w:after="0"/>
              <w:rPr>
                <w:sz w:val="24"/>
                <w:szCs w:val="24"/>
                <w:color w:val="auto"/>
              </w:rPr>
            </w:pPr>
          </w:p>
        </w:tc>
        <w:tc>
          <w:tcPr>
            <w:tcW w:w="120" w:type="dxa"/>
            <w:vAlign w:val="bottom"/>
            <w:tcBorders>
              <w:left w:val="single" w:sz="8" w:color="CCEEFF"/>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31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20"/>
                <w:szCs w:val="20"/>
                <w:b w:val="1"/>
                <w:bCs w:val="1"/>
                <w:color w:val="0000EE"/>
              </w:rPr>
              <w:t>1</w:t>
            </w:r>
          </w:p>
        </w:tc>
        <w:tc>
          <w:tcPr>
            <w:tcW w:w="760" w:type="dxa"/>
            <w:vAlign w:val="bottom"/>
          </w:tcPr>
          <w:p>
            <w:pPr>
              <w:jc w:val="right"/>
              <w:ind w:right="608"/>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8720" w:type="dxa"/>
            <w:vAlign w:val="bottom"/>
            <w:gridSpan w:val="30"/>
          </w:tcPr>
          <w:p>
            <w:pPr>
              <w:spacing w:after="0"/>
              <w:rPr>
                <w:sz w:val="20"/>
                <w:szCs w:val="20"/>
                <w:color w:val="auto"/>
              </w:rPr>
            </w:pPr>
            <w:r>
              <w:rPr>
                <w:rFonts w:ascii="Arial" w:cs="Arial" w:eastAsia="Arial" w:hAnsi="Arial"/>
                <w:sz w:val="20"/>
                <w:szCs w:val="20"/>
                <w:b w:val="1"/>
                <w:bCs w:val="1"/>
                <w:color w:val="0000EE"/>
                <w:w w:val="95"/>
              </w:rPr>
              <w:t>QUESTIONS AND ANSWERS ABOUT THE 2026 ANNUAL MEETING AND VOTING PROCEDURES</w:t>
            </w:r>
          </w:p>
        </w:tc>
        <w:tc>
          <w:tcPr>
            <w:tcW w:w="240" w:type="dxa"/>
            <w:vAlign w:val="bottom"/>
            <w:gridSpan w:val="2"/>
          </w:tcPr>
          <w:p>
            <w:pPr>
              <w:ind w:left="40"/>
              <w:spacing w:after="0"/>
              <w:rPr>
                <w:sz w:val="20"/>
                <w:szCs w:val="20"/>
                <w:color w:val="auto"/>
              </w:rPr>
            </w:pPr>
            <w:r>
              <w:rPr>
                <w:rFonts w:ascii="Arial" w:cs="Arial" w:eastAsia="Arial" w:hAnsi="Arial"/>
                <w:sz w:val="20"/>
                <w:szCs w:val="20"/>
                <w:b w:val="1"/>
                <w:bCs w:val="1"/>
                <w:color w:val="auto"/>
              </w:rPr>
              <w:t>​​​</w:t>
            </w:r>
          </w:p>
        </w:tc>
        <w:tc>
          <w:tcPr>
            <w:tcW w:w="1000" w:type="dxa"/>
            <w:vAlign w:val="bottom"/>
            <w:gridSpan w:val="4"/>
          </w:tcPr>
          <w:p>
            <w:pPr>
              <w:jc w:val="right"/>
              <w:ind w:right="608"/>
              <w:spacing w:after="0"/>
              <w:rPr>
                <w:sz w:val="20"/>
                <w:szCs w:val="20"/>
                <w:color w:val="auto"/>
              </w:rPr>
            </w:pPr>
            <w:r>
              <w:rPr>
                <w:rFonts w:ascii="Arial" w:cs="Arial" w:eastAsia="Arial" w:hAnsi="Arial"/>
                <w:sz w:val="20"/>
                <w:szCs w:val="20"/>
                <w:b w:val="1"/>
                <w:bCs w:val="1"/>
                <w:color w:val="0000EE"/>
              </w:rPr>
              <w:t>5</w:t>
            </w:r>
            <w:r>
              <w:rPr>
                <w:rFonts w:ascii="Arial" w:cs="Arial" w:eastAsia="Arial" w:hAnsi="Arial"/>
                <w:sz w:val="20"/>
                <w:szCs w:val="20"/>
                <w:b w:val="1"/>
                <w:bCs w:val="1"/>
                <w:color w:val="000000"/>
              </w:rPr>
              <w:t>​</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vMerge w:val="restart"/>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7"/>
            <w:shd w:val="clear" w:color="auto" w:fill="CCEEFF"/>
          </w:tcPr>
          <w:p>
            <w:pPr>
              <w:spacing w:after="0" w:line="196" w:lineRule="exact"/>
              <w:rPr>
                <w:sz w:val="20"/>
                <w:szCs w:val="20"/>
                <w:color w:val="auto"/>
              </w:rPr>
            </w:pPr>
            <w:r>
              <w:rPr>
                <w:rFonts w:ascii="Arial" w:cs="Arial" w:eastAsia="Arial" w:hAnsi="Arial"/>
                <w:sz w:val="18"/>
                <w:szCs w:val="18"/>
                <w:color w:val="0000EE"/>
              </w:rPr>
              <w:t>Who may vote?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rPr>
              <w:t>5</w:t>
            </w:r>
          </w:p>
        </w:tc>
        <w:tc>
          <w:tcPr>
            <w:tcW w:w="40" w:type="dxa"/>
            <w:vAlign w:val="bottom"/>
            <w:tcBorders>
              <w:left w:val="single" w:sz="8" w:color="CCEEFF"/>
            </w:tcBorders>
            <w:shd w:val="clear" w:color="auto" w:fill="CCEEFF"/>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Arial" w:cs="Arial" w:eastAsia="Arial" w:hAnsi="Arial"/>
                <w:sz w:val="18"/>
                <w:szCs w:val="18"/>
                <w:color w:val="0000EE"/>
              </w:rPr>
              <w:t>What constitutes a quorum?</w:t>
            </w:r>
          </w:p>
        </w:tc>
        <w:tc>
          <w:tcPr>
            <w:tcW w:w="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5</w:t>
            </w:r>
          </w:p>
        </w:tc>
        <w:tc>
          <w:tcPr>
            <w:tcW w:w="80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98"/>
              </w:rPr>
              <w:t>How do I vote?</w:t>
            </w:r>
          </w:p>
        </w:tc>
        <w:tc>
          <w:tcPr>
            <w:tcW w:w="620" w:type="dxa"/>
            <w:vAlign w:val="bottom"/>
            <w:gridSpan w:val="4"/>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79"/>
              </w:rPr>
              <w:t>5</w:t>
            </w:r>
          </w:p>
        </w:tc>
        <w:tc>
          <w:tcPr>
            <w:tcW w:w="40" w:type="dxa"/>
            <w:vAlign w:val="bottom"/>
            <w:tcBorders>
              <w:left w:val="single" w:sz="8" w:color="CCEEFF"/>
            </w:tcBorders>
            <w:shd w:val="clear" w:color="auto" w:fill="CCEEFF"/>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CCEEFF"/>
            </w:tcBorders>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Arial" w:cs="Arial" w:eastAsia="Arial" w:hAnsi="Arial"/>
                <w:sz w:val="18"/>
                <w:szCs w:val="18"/>
                <w:color w:val="0000EE"/>
              </w:rPr>
              <w:t>How will the proxies be voted?</w:t>
            </w:r>
          </w:p>
        </w:tc>
        <w:tc>
          <w:tcPr>
            <w:tcW w:w="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6</w:t>
            </w:r>
          </w:p>
        </w:tc>
        <w:tc>
          <w:tcPr>
            <w:tcW w:w="80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540" w:type="dxa"/>
            <w:vAlign w:val="bottom"/>
            <w:gridSpan w:val="29"/>
            <w:shd w:val="clear" w:color="auto" w:fill="CCEEFF"/>
          </w:tcPr>
          <w:p>
            <w:pPr>
              <w:spacing w:after="0" w:line="196" w:lineRule="exact"/>
              <w:rPr>
                <w:sz w:val="20"/>
                <w:szCs w:val="20"/>
                <w:color w:val="auto"/>
              </w:rPr>
            </w:pPr>
            <w:r>
              <w:rPr>
                <w:rFonts w:ascii="Arial" w:cs="Arial" w:eastAsia="Arial" w:hAnsi="Arial"/>
                <w:sz w:val="18"/>
                <w:szCs w:val="18"/>
                <w:color w:val="0000EE"/>
              </w:rPr>
              <w:t>How do I revoke my proxy if desired?</w:t>
            </w:r>
          </w:p>
        </w:tc>
        <w:tc>
          <w:tcPr>
            <w:tcW w:w="2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rPr>
              <w:t>6</w:t>
            </w:r>
          </w:p>
        </w:tc>
        <w:tc>
          <w:tcPr>
            <w:tcW w:w="40" w:type="dxa"/>
            <w:vAlign w:val="bottom"/>
            <w:tcBorders>
              <w:left w:val="single" w:sz="8" w:color="CCEEFF"/>
            </w:tcBorders>
            <w:shd w:val="clear" w:color="auto" w:fill="CCEEFF"/>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Arial" w:cs="Arial" w:eastAsia="Arial" w:hAnsi="Arial"/>
                <w:sz w:val="18"/>
                <w:szCs w:val="18"/>
                <w:color w:val="0000EE"/>
              </w:rPr>
              <w:t>How many votes must each proposal receive to be adopted?</w:t>
            </w:r>
          </w:p>
        </w:tc>
        <w:tc>
          <w:tcPr>
            <w:tcW w:w="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6</w:t>
            </w:r>
          </w:p>
        </w:tc>
        <w:tc>
          <w:tcPr>
            <w:tcW w:w="80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560" w:type="dxa"/>
            <w:vAlign w:val="bottom"/>
            <w:gridSpan w:val="24"/>
            <w:shd w:val="clear" w:color="auto" w:fill="CCEEFF"/>
          </w:tcPr>
          <w:p>
            <w:pPr>
              <w:spacing w:after="0" w:line="196" w:lineRule="exact"/>
              <w:rPr>
                <w:sz w:val="20"/>
                <w:szCs w:val="20"/>
                <w:color w:val="auto"/>
              </w:rPr>
            </w:pPr>
            <w:r>
              <w:rPr>
                <w:rFonts w:ascii="Arial" w:cs="Arial" w:eastAsia="Arial" w:hAnsi="Arial"/>
                <w:sz w:val="18"/>
                <w:szCs w:val="18"/>
                <w:color w:val="0000EE"/>
              </w:rPr>
              <w:t>What are broker non-votes?</w:t>
            </w:r>
          </w:p>
        </w:tc>
        <w:tc>
          <w:tcPr>
            <w:tcW w:w="3980" w:type="dxa"/>
            <w:vAlign w:val="bottom"/>
            <w:gridSpan w:val="5"/>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79"/>
              </w:rPr>
              <w:t>7</w:t>
            </w:r>
          </w:p>
        </w:tc>
        <w:tc>
          <w:tcPr>
            <w:tcW w:w="40" w:type="dxa"/>
            <w:vAlign w:val="bottom"/>
            <w:tcBorders>
              <w:left w:val="single" w:sz="8" w:color="CCEEFF"/>
            </w:tcBorders>
            <w:shd w:val="clear" w:color="auto" w:fill="CCEEFF"/>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9"/>
          </w:tcPr>
          <w:p>
            <w:pPr>
              <w:spacing w:after="0" w:line="196" w:lineRule="exact"/>
              <w:rPr>
                <w:sz w:val="20"/>
                <w:szCs w:val="20"/>
                <w:color w:val="auto"/>
              </w:rPr>
            </w:pPr>
            <w:r>
              <w:rPr>
                <w:rFonts w:ascii="Arial" w:cs="Arial" w:eastAsia="Arial" w:hAnsi="Arial"/>
                <w:sz w:val="18"/>
                <w:szCs w:val="18"/>
                <w:color w:val="0000EE"/>
                <w:w w:val="92"/>
              </w:rPr>
              <w:t>Who is soliciting my proxy?</w:t>
            </w:r>
          </w:p>
        </w:tc>
        <w:tc>
          <w:tcPr>
            <w:tcW w:w="6500" w:type="dxa"/>
            <w:vAlign w:val="bottom"/>
            <w:gridSpan w:val="20"/>
          </w:tcPr>
          <w:p>
            <w:pPr>
              <w:spacing w:after="0"/>
              <w:rPr>
                <w:sz w:val="17"/>
                <w:szCs w:val="17"/>
                <w:color w:val="auto"/>
              </w:rPr>
            </w:pPr>
          </w:p>
        </w:tc>
        <w:tc>
          <w:tcPr>
            <w:tcW w:w="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0000EE"/>
                <w:w w:val="79"/>
              </w:rPr>
              <w:t>8</w:t>
            </w:r>
          </w:p>
        </w:tc>
        <w:tc>
          <w:tcPr>
            <w:tcW w:w="80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60" w:type="dxa"/>
            <w:vAlign w:val="bottom"/>
          </w:tcPr>
          <w:p>
            <w:pPr>
              <w:spacing w:after="0"/>
              <w:rPr>
                <w:sz w:val="24"/>
                <w:szCs w:val="24"/>
                <w:color w:val="auto"/>
              </w:rPr>
            </w:pPr>
          </w:p>
        </w:tc>
        <w:tc>
          <w:tcPr>
            <w:tcW w:w="202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20"/>
                <w:szCs w:val="20"/>
                <w:b w:val="1"/>
                <w:bCs w:val="1"/>
                <w:color w:val="0000EE"/>
              </w:rPr>
              <w:t>PROPOSAL ONE:</w:t>
            </w:r>
          </w:p>
        </w:tc>
        <w:tc>
          <w:tcPr>
            <w:tcW w:w="6700" w:type="dxa"/>
            <w:vAlign w:val="bottom"/>
            <w:tcBorders>
              <w:bottom w:val="single" w:sz="8" w:color="auto"/>
            </w:tcBorders>
            <w:gridSpan w:val="22"/>
            <w:shd w:val="clear" w:color="auto" w:fill="CCEEFF"/>
          </w:tcPr>
          <w:p>
            <w:pPr>
              <w:ind w:left="20"/>
              <w:spacing w:after="0"/>
              <w:rPr>
                <w:sz w:val="20"/>
                <w:szCs w:val="20"/>
                <w:color w:val="auto"/>
              </w:rPr>
            </w:pPr>
            <w:r>
              <w:rPr>
                <w:rFonts w:ascii="Arial" w:cs="Arial" w:eastAsia="Arial" w:hAnsi="Arial"/>
                <w:sz w:val="20"/>
                <w:szCs w:val="20"/>
                <w:b w:val="1"/>
                <w:bCs w:val="1"/>
                <w:color w:val="0000EE"/>
              </w:rPr>
              <w:t>ELECTION OF DIRECTORS</w:t>
            </w:r>
          </w:p>
        </w:tc>
        <w:tc>
          <w:tcPr>
            <w:tcW w:w="2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20"/>
                <w:szCs w:val="20"/>
                <w:b w:val="1"/>
                <w:bCs w:val="1"/>
                <w:color w:val="0000EE"/>
              </w:rPr>
              <w:t>9</w:t>
            </w:r>
          </w:p>
        </w:tc>
        <w:tc>
          <w:tcPr>
            <w:tcW w:w="760" w:type="dxa"/>
            <w:vAlign w:val="bottom"/>
          </w:tcPr>
          <w:p>
            <w:pPr>
              <w:jc w:val="right"/>
              <w:ind w:right="608"/>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80" w:type="dxa"/>
            <w:vAlign w:val="bottom"/>
            <w:gridSpan w:val="21"/>
          </w:tcPr>
          <w:p>
            <w:pPr>
              <w:spacing w:after="0" w:line="196" w:lineRule="exact"/>
              <w:rPr>
                <w:sz w:val="20"/>
                <w:szCs w:val="20"/>
                <w:color w:val="auto"/>
              </w:rPr>
            </w:pPr>
            <w:r>
              <w:rPr>
                <w:rFonts w:ascii="Arial" w:cs="Arial" w:eastAsia="Arial" w:hAnsi="Arial"/>
                <w:sz w:val="18"/>
                <w:szCs w:val="18"/>
                <w:color w:val="0000EE"/>
                <w:w w:val="93"/>
              </w:rPr>
              <w:t>Nominees for Director at the 2026 Annual Meeting</w:t>
            </w:r>
          </w:p>
        </w:tc>
        <w:tc>
          <w:tcPr>
            <w:tcW w:w="4760" w:type="dxa"/>
            <w:vAlign w:val="bottom"/>
            <w:gridSpan w:val="8"/>
          </w:tcPr>
          <w:p>
            <w:pPr>
              <w:spacing w:after="0"/>
              <w:rPr>
                <w:sz w:val="17"/>
                <w:szCs w:val="17"/>
                <w:color w:val="auto"/>
              </w:rPr>
            </w:pPr>
          </w:p>
        </w:tc>
        <w:tc>
          <w:tcPr>
            <w:tcW w:w="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0000EE"/>
                <w:w w:val="79"/>
              </w:rPr>
              <w:t>9</w:t>
            </w:r>
          </w:p>
        </w:tc>
        <w:tc>
          <w:tcPr>
            <w:tcW w:w="80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7"/>
            <w:shd w:val="clear" w:color="auto" w:fill="CCEEFF"/>
          </w:tcPr>
          <w:p>
            <w:pPr>
              <w:spacing w:after="0" w:line="196" w:lineRule="exact"/>
              <w:rPr>
                <w:sz w:val="20"/>
                <w:szCs w:val="20"/>
                <w:color w:val="auto"/>
              </w:rPr>
            </w:pPr>
            <w:r>
              <w:rPr>
                <w:rFonts w:ascii="Arial" w:cs="Arial" w:eastAsia="Arial" w:hAnsi="Arial"/>
                <w:sz w:val="18"/>
                <w:szCs w:val="18"/>
                <w:color w:val="0000EE"/>
              </w:rPr>
              <w:t>Board Skills Matrix</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13</w:t>
            </w:r>
          </w:p>
        </w:tc>
        <w:tc>
          <w:tcPr>
            <w:tcW w:w="40" w:type="dxa"/>
            <w:vAlign w:val="bottom"/>
            <w:tcBorders>
              <w:left w:val="single" w:sz="8" w:color="CCEEFF"/>
            </w:tcBorders>
            <w:shd w:val="clear" w:color="auto" w:fill="CCEEFF"/>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0" w:type="dxa"/>
            <w:vAlign w:val="bottom"/>
          </w:tcPr>
          <w:p>
            <w:pPr>
              <w:spacing w:after="0"/>
              <w:rPr>
                <w:sz w:val="24"/>
                <w:szCs w:val="24"/>
                <w:color w:val="auto"/>
              </w:rPr>
            </w:pPr>
          </w:p>
        </w:tc>
        <w:tc>
          <w:tcPr>
            <w:tcW w:w="8720" w:type="dxa"/>
            <w:vAlign w:val="bottom"/>
            <w:gridSpan w:val="30"/>
          </w:tcPr>
          <w:p>
            <w:pPr>
              <w:spacing w:after="0"/>
              <w:rPr>
                <w:sz w:val="20"/>
                <w:szCs w:val="20"/>
                <w:color w:val="auto"/>
              </w:rPr>
            </w:pPr>
            <w:r>
              <w:rPr>
                <w:rFonts w:ascii="Arial" w:cs="Arial" w:eastAsia="Arial" w:hAnsi="Arial"/>
                <w:sz w:val="20"/>
                <w:szCs w:val="20"/>
                <w:b w:val="1"/>
                <w:bCs w:val="1"/>
                <w:color w:val="0000EE"/>
              </w:rPr>
              <w:t>CORPORATE GOVERNANCE</w:t>
            </w:r>
          </w:p>
        </w:tc>
        <w:tc>
          <w:tcPr>
            <w:tcW w:w="1240" w:type="dxa"/>
            <w:vAlign w:val="bottom"/>
            <w:gridSpan w:val="6"/>
          </w:tcPr>
          <w:p>
            <w:pPr>
              <w:jc w:val="right"/>
              <w:ind w:right="608"/>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EE"/>
              </w:rPr>
              <w:t>14</w:t>
            </w: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vMerge w:val="restart"/>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7"/>
            <w:shd w:val="clear" w:color="auto" w:fill="CCEEFF"/>
          </w:tcPr>
          <w:p>
            <w:pPr>
              <w:spacing w:after="0" w:line="196" w:lineRule="exact"/>
              <w:rPr>
                <w:sz w:val="20"/>
                <w:szCs w:val="20"/>
                <w:color w:val="auto"/>
              </w:rPr>
            </w:pPr>
            <w:r>
              <w:rPr>
                <w:rFonts w:ascii="Arial" w:cs="Arial" w:eastAsia="Arial" w:hAnsi="Arial"/>
                <w:sz w:val="18"/>
                <w:szCs w:val="18"/>
                <w:color w:val="0000EE"/>
              </w:rPr>
              <w:t>General</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14</w:t>
            </w:r>
          </w:p>
        </w:tc>
        <w:tc>
          <w:tcPr>
            <w:tcW w:w="40" w:type="dxa"/>
            <w:vAlign w:val="bottom"/>
            <w:tcBorders>
              <w:left w:val="single" w:sz="8" w:color="CCEEFF"/>
            </w:tcBorders>
            <w:shd w:val="clear" w:color="auto" w:fill="CCEEFF"/>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3"/>
              </w:rPr>
              <w:t>Code of Business Conduct and Ethics</w:t>
            </w:r>
          </w:p>
        </w:tc>
        <w:tc>
          <w:tcPr>
            <w:tcW w:w="5680" w:type="dxa"/>
            <w:vAlign w:val="bottom"/>
            <w:gridSpan w:val="14"/>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14</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7"/>
            <w:shd w:val="clear" w:color="auto" w:fill="CCEEFF"/>
          </w:tcPr>
          <w:p>
            <w:pPr>
              <w:spacing w:after="0"/>
              <w:rPr>
                <w:sz w:val="20"/>
                <w:szCs w:val="20"/>
                <w:color w:val="auto"/>
              </w:rPr>
            </w:pPr>
            <w:r>
              <w:rPr>
                <w:rFonts w:ascii="Arial" w:cs="Arial" w:eastAsia="Arial" w:hAnsi="Arial"/>
                <w:sz w:val="18"/>
                <w:szCs w:val="18"/>
                <w:color w:val="0000EE"/>
              </w:rPr>
              <w:t>Structure of the Board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89"/>
              </w:rPr>
              <w:t>14</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5"/>
          </w:tcPr>
          <w:p>
            <w:pPr>
              <w:spacing w:after="0"/>
              <w:rPr>
                <w:sz w:val="20"/>
                <w:szCs w:val="20"/>
                <w:color w:val="auto"/>
              </w:rPr>
            </w:pPr>
            <w:r>
              <w:rPr>
                <w:rFonts w:ascii="Arial" w:cs="Arial" w:eastAsia="Arial" w:hAnsi="Arial"/>
                <w:sz w:val="18"/>
                <w:szCs w:val="18"/>
                <w:color w:val="0000EE"/>
              </w:rPr>
              <w:t>Board Oversight</w:t>
            </w: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18</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7"/>
            <w:shd w:val="clear" w:color="auto" w:fill="CCEEFF"/>
          </w:tcPr>
          <w:p>
            <w:pPr>
              <w:spacing w:after="0"/>
              <w:rPr>
                <w:sz w:val="20"/>
                <w:szCs w:val="20"/>
                <w:color w:val="auto"/>
              </w:rPr>
            </w:pPr>
            <w:r>
              <w:rPr>
                <w:rFonts w:ascii="Arial" w:cs="Arial" w:eastAsia="Arial" w:hAnsi="Arial"/>
                <w:sz w:val="18"/>
                <w:szCs w:val="18"/>
                <w:color w:val="0000EE"/>
                <w:w w:val="98"/>
              </w:rPr>
              <w:t>Director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89"/>
              </w:rPr>
              <w:t>19</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6"/>
          </w:tcPr>
          <w:p>
            <w:pPr>
              <w:spacing w:after="0"/>
              <w:rPr>
                <w:sz w:val="20"/>
                <w:szCs w:val="20"/>
                <w:color w:val="auto"/>
              </w:rPr>
            </w:pPr>
            <w:r>
              <w:rPr>
                <w:rFonts w:ascii="Arial" w:cs="Arial" w:eastAsia="Arial" w:hAnsi="Arial"/>
                <w:sz w:val="18"/>
                <w:szCs w:val="18"/>
                <w:color w:val="0000EE"/>
              </w:rPr>
              <w:t>Director Nominations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20</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tcBorders>
              <w:top w:val="single" w:sz="8" w:color="0000EE"/>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0000EE"/>
                <w:w w:val="96"/>
              </w:rPr>
              <w:t>Director Attendance</w:t>
            </w:r>
          </w:p>
        </w:tc>
        <w:tc>
          <w:tcPr>
            <w:tcW w:w="26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top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21</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Arial" w:cs="Arial" w:eastAsia="Arial" w:hAnsi="Arial"/>
                <w:sz w:val="18"/>
                <w:szCs w:val="18"/>
                <w:color w:val="0000EE"/>
              </w:rPr>
              <w:t>Procedures for Reporting Accounting Concerns</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21</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60" w:type="dxa"/>
            <w:vAlign w:val="bottom"/>
            <w:tcBorders>
              <w:top w:val="single" w:sz="8" w:color="0000EE"/>
            </w:tcBorders>
            <w:gridSpan w:val="19"/>
            <w:shd w:val="clear" w:color="auto" w:fill="CCEEFF"/>
          </w:tcPr>
          <w:p>
            <w:pPr>
              <w:spacing w:after="0"/>
              <w:rPr>
                <w:sz w:val="20"/>
                <w:szCs w:val="20"/>
                <w:color w:val="auto"/>
              </w:rPr>
            </w:pPr>
            <w:r>
              <w:rPr>
                <w:rFonts w:ascii="Arial" w:cs="Arial" w:eastAsia="Arial" w:hAnsi="Arial"/>
                <w:sz w:val="18"/>
                <w:szCs w:val="18"/>
                <w:color w:val="0000EE"/>
              </w:rPr>
              <w:t>Communications with the Board</w:t>
            </w:r>
          </w:p>
        </w:tc>
        <w:tc>
          <w:tcPr>
            <w:tcW w:w="4980" w:type="dxa"/>
            <w:vAlign w:val="bottom"/>
            <w:gridSpan w:val="10"/>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top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22</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12"/>
          </w:tcPr>
          <w:p>
            <w:pPr>
              <w:spacing w:after="0"/>
              <w:rPr>
                <w:sz w:val="20"/>
                <w:szCs w:val="20"/>
                <w:color w:val="auto"/>
              </w:rPr>
            </w:pPr>
            <w:r>
              <w:rPr>
                <w:rFonts w:ascii="Arial" w:cs="Arial" w:eastAsia="Arial" w:hAnsi="Arial"/>
                <w:sz w:val="18"/>
                <w:szCs w:val="18"/>
                <w:color w:val="0000EE"/>
              </w:rPr>
              <w:t>Related Person Transactions</w:t>
            </w:r>
          </w:p>
        </w:tc>
        <w:tc>
          <w:tcPr>
            <w:tcW w:w="6140" w:type="dxa"/>
            <w:vAlign w:val="bottom"/>
            <w:gridSpan w:val="17"/>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22</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top w:val="single" w:sz="8" w:color="0000EE"/>
              <w:bottom w:val="single" w:sz="8" w:color="0000EE"/>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0000EE"/>
              </w:rPr>
              <w:t>Investor Outreach</w:t>
            </w:r>
          </w:p>
        </w:tc>
        <w:tc>
          <w:tcPr>
            <w:tcW w:w="26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22</w:t>
            </w:r>
          </w:p>
        </w:tc>
        <w:tc>
          <w:tcPr>
            <w:tcW w:w="40" w:type="dxa"/>
            <w:vAlign w:val="bottom"/>
            <w:tcBorders>
              <w:left w:val="single" w:sz="8" w:color="CCEEFF"/>
              <w:bottom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2020" w:type="dxa"/>
            <w:vAlign w:val="bottom"/>
            <w:gridSpan w:val="8"/>
          </w:tcPr>
          <w:p>
            <w:pPr>
              <w:spacing w:after="0"/>
              <w:rPr>
                <w:sz w:val="20"/>
                <w:szCs w:val="20"/>
                <w:color w:val="auto"/>
              </w:rPr>
            </w:pPr>
            <w:r>
              <w:rPr>
                <w:rFonts w:ascii="Arial" w:cs="Arial" w:eastAsia="Arial" w:hAnsi="Arial"/>
                <w:sz w:val="20"/>
                <w:szCs w:val="20"/>
                <w:b w:val="1"/>
                <w:bCs w:val="1"/>
                <w:color w:val="0000EE"/>
              </w:rPr>
              <w:t>PROPOSAL TWO:</w:t>
            </w:r>
          </w:p>
        </w:tc>
        <w:tc>
          <w:tcPr>
            <w:tcW w:w="6700" w:type="dxa"/>
            <w:vAlign w:val="bottom"/>
            <w:gridSpan w:val="22"/>
          </w:tcPr>
          <w:p>
            <w:pPr>
              <w:ind w:left="20"/>
              <w:spacing w:after="0"/>
              <w:rPr>
                <w:sz w:val="20"/>
                <w:szCs w:val="20"/>
                <w:color w:val="auto"/>
              </w:rPr>
            </w:pPr>
            <w:r>
              <w:rPr>
                <w:rFonts w:ascii="Arial" w:cs="Arial" w:eastAsia="Arial" w:hAnsi="Arial"/>
                <w:sz w:val="20"/>
                <w:szCs w:val="20"/>
                <w:b w:val="1"/>
                <w:bCs w:val="1"/>
                <w:color w:val="0000EE"/>
                <w:w w:val="90"/>
              </w:rPr>
              <w:t>RATIFICATION OF THE SELECTION OF INDEPENDENT REGISTERED PUBLIC</w:t>
            </w:r>
          </w:p>
        </w:tc>
        <w:tc>
          <w:tcPr>
            <w:tcW w:w="1240" w:type="dxa"/>
            <w:vAlign w:val="bottom"/>
            <w:gridSpan w:val="6"/>
            <w:vMerge w:val="restart"/>
          </w:tcPr>
          <w:p>
            <w:pPr>
              <w:jc w:val="right"/>
              <w:ind w:right="608"/>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EE"/>
              </w:rPr>
              <w:t>24</w:t>
            </w: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tcBorders>
              <w:top w:val="single" w:sz="8" w:color="0000EE"/>
            </w:tcBorders>
            <w:gridSpan w:val="20"/>
          </w:tcPr>
          <w:p>
            <w:pPr>
              <w:spacing w:after="0" w:line="156" w:lineRule="exact"/>
              <w:rPr>
                <w:sz w:val="20"/>
                <w:szCs w:val="20"/>
                <w:color w:val="auto"/>
              </w:rPr>
            </w:pPr>
            <w:r>
              <w:rPr>
                <w:rFonts w:ascii="Arial" w:cs="Arial" w:eastAsia="Arial" w:hAnsi="Arial"/>
                <w:sz w:val="18"/>
                <w:szCs w:val="18"/>
                <w:b w:val="1"/>
                <w:bCs w:val="1"/>
                <w:color w:val="0000EE"/>
              </w:rPr>
              <w:t>ACCOUNTING FIRM</w:t>
            </w:r>
          </w:p>
        </w:tc>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Principal Accountant Fees and Services</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89"/>
              </w:rPr>
              <w:t>25</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8720" w:type="dxa"/>
            <w:vAlign w:val="bottom"/>
            <w:gridSpan w:val="30"/>
          </w:tcPr>
          <w:p>
            <w:pPr>
              <w:spacing w:after="0"/>
              <w:rPr>
                <w:sz w:val="20"/>
                <w:szCs w:val="20"/>
                <w:color w:val="auto"/>
              </w:rPr>
            </w:pPr>
            <w:r>
              <w:rPr>
                <w:rFonts w:ascii="Arial" w:cs="Arial" w:eastAsia="Arial" w:hAnsi="Arial"/>
                <w:sz w:val="20"/>
                <w:szCs w:val="20"/>
                <w:b w:val="1"/>
                <w:bCs w:val="1"/>
                <w:color w:val="0000EE"/>
              </w:rPr>
              <w:t>AUDIT AND RISK COMMITTEE REPORT</w:t>
            </w:r>
          </w:p>
        </w:tc>
        <w:tc>
          <w:tcPr>
            <w:tcW w:w="1240" w:type="dxa"/>
            <w:vAlign w:val="bottom"/>
            <w:gridSpan w:val="6"/>
          </w:tcPr>
          <w:p>
            <w:pPr>
              <w:jc w:val="right"/>
              <w:ind w:right="608"/>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EE"/>
              </w:rPr>
              <w:t>26</w:t>
            </w: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60" w:type="dxa"/>
            <w:vAlign w:val="bottom"/>
          </w:tcPr>
          <w:p>
            <w:pPr>
              <w:spacing w:after="0"/>
              <w:rPr>
                <w:sz w:val="24"/>
                <w:szCs w:val="24"/>
                <w:color w:val="auto"/>
              </w:rPr>
            </w:pPr>
          </w:p>
        </w:tc>
        <w:tc>
          <w:tcPr>
            <w:tcW w:w="202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20"/>
                <w:szCs w:val="20"/>
                <w:b w:val="1"/>
                <w:bCs w:val="1"/>
                <w:color w:val="0000EE"/>
                <w:w w:val="90"/>
              </w:rPr>
              <w:t>EXECUTIVE OFFICERS</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 w:type="dxa"/>
            <w:vAlign w:val="bottom"/>
            <w:tcBorders>
              <w:left w:val="single" w:sz="8" w:color="CCEEFF"/>
              <w:bottom w:val="single" w:sz="8" w:color="auto"/>
            </w:tcBorders>
            <w:shd w:val="clear" w:color="auto" w:fill="CCEEFF"/>
          </w:tcPr>
          <w:p>
            <w:pPr>
              <w:spacing w:after="0"/>
              <w:rPr>
                <w:sz w:val="24"/>
                <w:szCs w:val="24"/>
                <w:color w:val="auto"/>
              </w:rPr>
            </w:pPr>
          </w:p>
        </w:tc>
        <w:tc>
          <w:tcPr>
            <w:tcW w:w="160" w:type="dxa"/>
            <w:vAlign w:val="bottom"/>
            <w:tcBorders>
              <w:bottom w:val="single" w:sz="8" w:color="auto"/>
              <w:right w:val="single" w:sz="8" w:color="CCEEFF"/>
            </w:tcBorders>
            <w:shd w:val="clear" w:color="auto" w:fill="CCEEFF"/>
          </w:tcPr>
          <w:p>
            <w:pPr>
              <w:spacing w:after="0"/>
              <w:rPr>
                <w:sz w:val="24"/>
                <w:szCs w:val="24"/>
                <w:color w:val="auto"/>
              </w:rPr>
            </w:pPr>
          </w:p>
        </w:tc>
        <w:tc>
          <w:tcPr>
            <w:tcW w:w="120" w:type="dxa"/>
            <w:vAlign w:val="bottom"/>
            <w:tcBorders>
              <w:left w:val="single" w:sz="8" w:color="CCEEFF"/>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31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EE"/>
              </w:rPr>
              <w:t>27</w:t>
            </w:r>
          </w:p>
        </w:tc>
        <w:tc>
          <w:tcPr>
            <w:tcW w:w="760" w:type="dxa"/>
            <w:vAlign w:val="bottom"/>
          </w:tcPr>
          <w:p>
            <w:pPr>
              <w:jc w:val="right"/>
              <w:ind w:right="608"/>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8720" w:type="dxa"/>
            <w:vAlign w:val="bottom"/>
            <w:gridSpan w:val="30"/>
          </w:tcPr>
          <w:p>
            <w:pPr>
              <w:spacing w:after="0"/>
              <w:rPr>
                <w:sz w:val="20"/>
                <w:szCs w:val="20"/>
                <w:color w:val="auto"/>
              </w:rPr>
            </w:pPr>
            <w:r>
              <w:rPr>
                <w:rFonts w:ascii="Arial" w:cs="Arial" w:eastAsia="Arial" w:hAnsi="Arial"/>
                <w:sz w:val="20"/>
                <w:szCs w:val="20"/>
                <w:b w:val="1"/>
                <w:bCs w:val="1"/>
                <w:color w:val="0000EE"/>
              </w:rPr>
              <w:t>COMPENSATION DISCUSSION AND ANALYSIS</w:t>
            </w:r>
          </w:p>
        </w:tc>
        <w:tc>
          <w:tcPr>
            <w:tcW w:w="1240" w:type="dxa"/>
            <w:vAlign w:val="bottom"/>
            <w:gridSpan w:val="6"/>
          </w:tcPr>
          <w:p>
            <w:pPr>
              <w:jc w:val="right"/>
              <w:ind w:right="608"/>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EE"/>
              </w:rPr>
              <w:t>29</w:t>
            </w: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7"/>
            <w:shd w:val="clear" w:color="auto" w:fill="CCEEFF"/>
          </w:tcPr>
          <w:p>
            <w:pPr>
              <w:spacing w:after="0"/>
              <w:rPr>
                <w:sz w:val="20"/>
                <w:szCs w:val="20"/>
                <w:color w:val="auto"/>
              </w:rPr>
            </w:pPr>
            <w:r>
              <w:rPr>
                <w:rFonts w:ascii="Arial" w:cs="Arial" w:eastAsia="Arial" w:hAnsi="Arial"/>
                <w:sz w:val="18"/>
                <w:szCs w:val="18"/>
                <w:color w:val="0000EE"/>
              </w:rPr>
              <w:t>Executive Summary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89"/>
              </w:rPr>
              <w:t>29</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7"/>
          </w:tcPr>
          <w:p>
            <w:pPr>
              <w:spacing w:after="0"/>
              <w:rPr>
                <w:sz w:val="20"/>
                <w:szCs w:val="20"/>
                <w:color w:val="auto"/>
              </w:rPr>
            </w:pPr>
            <w:r>
              <w:rPr>
                <w:rFonts w:ascii="Arial" w:cs="Arial" w:eastAsia="Arial" w:hAnsi="Arial"/>
                <w:sz w:val="18"/>
                <w:szCs w:val="18"/>
                <w:color w:val="0000EE"/>
                <w:w w:val="97"/>
              </w:rPr>
              <w:t>Compensation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33</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7"/>
            <w:shd w:val="clear" w:color="auto" w:fill="CCEEFF"/>
          </w:tcPr>
          <w:p>
            <w:pPr>
              <w:spacing w:after="0"/>
              <w:rPr>
                <w:sz w:val="20"/>
                <w:szCs w:val="20"/>
                <w:color w:val="auto"/>
              </w:rPr>
            </w:pPr>
            <w:r>
              <w:rPr>
                <w:rFonts w:ascii="Arial" w:cs="Arial" w:eastAsia="Arial" w:hAnsi="Arial"/>
                <w:sz w:val="18"/>
                <w:szCs w:val="18"/>
                <w:color w:val="0000EE"/>
                <w:w w:val="94"/>
              </w:rPr>
              <w:t>Forms of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89"/>
              </w:rPr>
              <w:t>34</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Arial" w:cs="Arial" w:eastAsia="Arial" w:hAnsi="Arial"/>
                <w:sz w:val="18"/>
                <w:szCs w:val="18"/>
                <w:color w:val="0000EE"/>
              </w:rPr>
              <w:t>Termination of Employment and Change-in-Control Arrangements</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39</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tcBorders>
              <w:top w:val="single" w:sz="8" w:color="0000EE"/>
            </w:tcBorders>
            <w:gridSpan w:val="26"/>
            <w:shd w:val="clear" w:color="auto" w:fill="CCEEFF"/>
          </w:tcPr>
          <w:p>
            <w:pPr>
              <w:spacing w:after="0"/>
              <w:rPr>
                <w:sz w:val="20"/>
                <w:szCs w:val="20"/>
                <w:color w:val="auto"/>
              </w:rPr>
            </w:pPr>
            <w:r>
              <w:rPr>
                <w:rFonts w:ascii="Arial" w:cs="Arial" w:eastAsia="Arial" w:hAnsi="Arial"/>
                <w:sz w:val="18"/>
                <w:szCs w:val="18"/>
                <w:color w:val="0000EE"/>
              </w:rPr>
              <w:t>Policies and Risk Mitigation</w:t>
            </w:r>
          </w:p>
        </w:tc>
        <w:tc>
          <w:tcPr>
            <w:tcW w:w="3600" w:type="dxa"/>
            <w:vAlign w:val="bottom"/>
            <w:gridSpan w:val="3"/>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top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43</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Arial" w:cs="Arial" w:eastAsia="Arial" w:hAnsi="Arial"/>
                <w:sz w:val="18"/>
                <w:szCs w:val="18"/>
                <w:color w:val="0000EE"/>
              </w:rPr>
              <w:t>Compensation Committee Interlocks and Insider Participation</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45</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0000EE"/>
              <w:bottom w:val="single" w:sz="8" w:color="0000EE"/>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0000EE"/>
                <w:w w:val="96"/>
              </w:rPr>
              <w:t>Section 162(m)</w:t>
            </w:r>
          </w:p>
        </w:tc>
        <w:tc>
          <w:tcPr>
            <w:tcW w:w="62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0000EE"/>
              <w:left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45</w:t>
            </w:r>
          </w:p>
        </w:tc>
        <w:tc>
          <w:tcPr>
            <w:tcW w:w="40" w:type="dxa"/>
            <w:vAlign w:val="bottom"/>
            <w:tcBorders>
              <w:left w:val="single" w:sz="8" w:color="CCEEFF"/>
              <w:bottom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4"/>
              </w:rPr>
              <w:t>Compensation Committee Report</w:t>
            </w:r>
          </w:p>
        </w:tc>
        <w:tc>
          <w:tcPr>
            <w:tcW w:w="6000" w:type="dxa"/>
            <w:vAlign w:val="bottom"/>
            <w:gridSpan w:val="16"/>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45</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8720" w:type="dxa"/>
            <w:vAlign w:val="bottom"/>
            <w:tcBorders>
              <w:bottom w:val="single" w:sz="8" w:color="auto"/>
            </w:tcBorders>
            <w:gridSpan w:val="30"/>
            <w:shd w:val="clear" w:color="auto" w:fill="CCEEFF"/>
          </w:tcPr>
          <w:p>
            <w:pPr>
              <w:spacing w:after="0"/>
              <w:rPr>
                <w:sz w:val="20"/>
                <w:szCs w:val="20"/>
                <w:color w:val="auto"/>
              </w:rPr>
            </w:pPr>
            <w:r>
              <w:rPr>
                <w:rFonts w:ascii="Arial" w:cs="Arial" w:eastAsia="Arial" w:hAnsi="Arial"/>
                <w:sz w:val="20"/>
                <w:szCs w:val="20"/>
                <w:b w:val="1"/>
                <w:bCs w:val="1"/>
                <w:color w:val="0000EE"/>
              </w:rPr>
              <w:t>COMPENSATION TABLES</w:t>
            </w:r>
          </w:p>
        </w:tc>
        <w:tc>
          <w:tcPr>
            <w:tcW w:w="48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EE"/>
              </w:rPr>
              <w:t>46</w:t>
            </w:r>
          </w:p>
        </w:tc>
        <w:tc>
          <w:tcPr>
            <w:tcW w:w="760" w:type="dxa"/>
            <w:vAlign w:val="bottom"/>
          </w:tcPr>
          <w:p>
            <w:pPr>
              <w:jc w:val="right"/>
              <w:ind w:right="608"/>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Arial" w:cs="Arial" w:eastAsia="Arial" w:hAnsi="Arial"/>
                <w:sz w:val="18"/>
                <w:szCs w:val="18"/>
                <w:color w:val="0000EE"/>
              </w:rPr>
              <w:t>Summary Compensation Table</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46</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80" w:type="dxa"/>
            <w:vAlign w:val="bottom"/>
            <w:tcBorders>
              <w:top w:val="single" w:sz="8" w:color="0000EE"/>
              <w:right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0000EE"/>
                <w:w w:val="94"/>
              </w:rPr>
              <w:t>Grants of Plan-Based Awards</w:t>
            </w:r>
          </w:p>
        </w:tc>
        <w:tc>
          <w:tcPr>
            <w:tcW w:w="6260" w:type="dxa"/>
            <w:vAlign w:val="bottom"/>
            <w:tcBorders>
              <w:left w:val="single" w:sz="8" w:color="CCEEFF"/>
            </w:tcBorders>
            <w:gridSpan w:val="18"/>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tcBorders>
              <w:top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48</w:t>
            </w:r>
          </w:p>
        </w:tc>
        <w:tc>
          <w:tcPr>
            <w:tcW w:w="40" w:type="dxa"/>
            <w:vAlign w:val="bottom"/>
            <w:tcBorders>
              <w:left w:val="single" w:sz="8" w:color="CCEEFF"/>
            </w:tcBorders>
            <w:shd w:val="clear" w:color="auto" w:fill="CCEEFF"/>
          </w:tcPr>
          <w:p>
            <w:pPr>
              <w:spacing w:after="0"/>
              <w:rPr>
                <w:sz w:val="18"/>
                <w:szCs w:val="18"/>
                <w:color w:val="auto"/>
              </w:rPr>
            </w:pPr>
          </w:p>
        </w:tc>
        <w:tc>
          <w:tcPr>
            <w:tcW w:w="760" w:type="dxa"/>
            <w:vAlign w:val="bottom"/>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Arial" w:cs="Arial" w:eastAsia="Arial" w:hAnsi="Arial"/>
                <w:sz w:val="18"/>
                <w:szCs w:val="18"/>
                <w:color w:val="0000EE"/>
              </w:rPr>
              <w:t>Outstanding Equity Awards at Fiscal Year-End</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49</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-7817485</wp:posOffset>
            </wp:positionV>
            <wp:extent cx="5597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752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2020" w:type="dxa"/>
            <w:vAlign w:val="bottom"/>
            <w:gridSpan w:val="9"/>
          </w:tcPr>
          <w:p>
            <w:pPr>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6"/>
          </w:tcPr>
          <w:p>
            <w:pPr>
              <w:ind w:left="100"/>
              <w:spacing w:after="0"/>
              <w:rPr>
                <w:sz w:val="20"/>
                <w:szCs w:val="20"/>
                <w:color w:val="auto"/>
              </w:rPr>
            </w:pPr>
            <w:r>
              <w:rPr>
                <w:rFonts w:ascii="Arial" w:cs="Arial" w:eastAsia="Arial" w:hAnsi="Arial"/>
                <w:sz w:val="15"/>
                <w:szCs w:val="15"/>
                <w:b w:val="1"/>
                <w:bCs w:val="1"/>
                <w:color w:val="auto"/>
              </w:rPr>
              <w:t>​​ Page ​</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2660" w:type="dxa"/>
            <w:vAlign w:val="bottom"/>
            <w:gridSpan w:val="12"/>
            <w:vMerge w:val="restart"/>
            <w:shd w:val="clear" w:color="auto" w:fill="CCEEFF"/>
          </w:tcPr>
          <w:p>
            <w:pPr>
              <w:spacing w:after="0"/>
              <w:rPr>
                <w:sz w:val="20"/>
                <w:szCs w:val="20"/>
                <w:color w:val="auto"/>
              </w:rPr>
            </w:pPr>
            <w:r>
              <w:rPr>
                <w:rFonts w:ascii="Arial" w:cs="Arial" w:eastAsia="Arial" w:hAnsi="Arial"/>
                <w:sz w:val="18"/>
                <w:szCs w:val="18"/>
                <w:color w:val="0000EE"/>
                <w:w w:val="93"/>
              </w:rPr>
              <w:t>Option Exercises and Stock Vested</w:t>
            </w:r>
          </w:p>
        </w:tc>
        <w:tc>
          <w:tcPr>
            <w:tcW w:w="5760" w:type="dxa"/>
            <w:vAlign w:val="bottom"/>
            <w:gridSpan w:val="15"/>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2660" w:type="dxa"/>
            <w:vAlign w:val="bottom"/>
            <w:gridSpan w:val="12"/>
            <w:vMerge w:val="continue"/>
            <w:shd w:val="clear" w:color="auto" w:fill="CCEEFF"/>
          </w:tcPr>
          <w:p>
            <w:pPr>
              <w:spacing w:after="0"/>
              <w:rPr>
                <w:sz w:val="17"/>
                <w:szCs w:val="17"/>
                <w:color w:val="auto"/>
              </w:rPr>
            </w:pPr>
          </w:p>
        </w:tc>
        <w:tc>
          <w:tcPr>
            <w:tcW w:w="5760" w:type="dxa"/>
            <w:vAlign w:val="bottom"/>
            <w:gridSpan w:val="15"/>
            <w:vMerge w:val="continue"/>
            <w:shd w:val="clear" w:color="auto" w:fill="CCEEFF"/>
          </w:tcPr>
          <w:p>
            <w:pPr>
              <w:spacing w:after="0"/>
              <w:rPr>
                <w:sz w:val="17"/>
                <w:szCs w:val="17"/>
                <w:color w:val="auto"/>
              </w:rPr>
            </w:pPr>
          </w:p>
        </w:tc>
        <w:tc>
          <w:tcPr>
            <w:tcW w:w="380" w:type="dxa"/>
            <w:vAlign w:val="bottom"/>
            <w:tcBorders>
              <w:right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51</w:t>
            </w:r>
          </w:p>
        </w:tc>
        <w:tc>
          <w:tcPr>
            <w:tcW w:w="4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900" w:type="dxa"/>
            <w:vAlign w:val="bottom"/>
            <w:gridSpan w:val="14"/>
          </w:tcPr>
          <w:p>
            <w:pPr>
              <w:spacing w:after="0" w:line="196" w:lineRule="exact"/>
              <w:rPr>
                <w:sz w:val="20"/>
                <w:szCs w:val="20"/>
                <w:color w:val="auto"/>
              </w:rPr>
            </w:pPr>
            <w:r>
              <w:rPr>
                <w:rFonts w:ascii="Arial" w:cs="Arial" w:eastAsia="Arial" w:hAnsi="Arial"/>
                <w:sz w:val="18"/>
                <w:szCs w:val="18"/>
                <w:color w:val="0000EE"/>
                <w:w w:val="94"/>
              </w:rPr>
              <w:t>Non-Qualified Deferred Compensation</w:t>
            </w:r>
          </w:p>
        </w:tc>
        <w:tc>
          <w:tcPr>
            <w:tcW w:w="5520" w:type="dxa"/>
            <w:vAlign w:val="bottom"/>
            <w:gridSpan w:val="13"/>
          </w:tcPr>
          <w:p>
            <w:pPr>
              <w:spacing w:after="0"/>
              <w:rPr>
                <w:sz w:val="17"/>
                <w:szCs w:val="17"/>
                <w:color w:val="auto"/>
              </w:rPr>
            </w:pPr>
          </w:p>
        </w:tc>
        <w:tc>
          <w:tcPr>
            <w:tcW w:w="3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51</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4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0000EE"/>
              </w:rPr>
              <w:t>No Pension Benefits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52</w:t>
            </w:r>
          </w:p>
        </w:tc>
        <w:tc>
          <w:tcPr>
            <w:tcW w:w="4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420" w:type="dxa"/>
            <w:vAlign w:val="bottom"/>
            <w:gridSpan w:val="27"/>
          </w:tcPr>
          <w:p>
            <w:pPr>
              <w:spacing w:after="0" w:line="196" w:lineRule="exact"/>
              <w:rPr>
                <w:sz w:val="20"/>
                <w:szCs w:val="20"/>
                <w:color w:val="auto"/>
              </w:rPr>
            </w:pPr>
            <w:r>
              <w:rPr>
                <w:rFonts w:ascii="Arial" w:cs="Arial" w:eastAsia="Arial" w:hAnsi="Arial"/>
                <w:sz w:val="18"/>
                <w:szCs w:val="18"/>
                <w:color w:val="0000EE"/>
              </w:rPr>
              <w:t>Potential Payments and Benefits Upon Termination Without a Change in Control</w:t>
            </w:r>
          </w:p>
        </w:tc>
        <w:tc>
          <w:tcPr>
            <w:tcW w:w="3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52</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5780" w:type="dxa"/>
            <w:vAlign w:val="bottom"/>
            <w:gridSpan w:val="18"/>
            <w:shd w:val="clear" w:color="auto" w:fill="CCEEFF"/>
          </w:tcPr>
          <w:p>
            <w:pPr>
              <w:spacing w:after="0" w:line="196" w:lineRule="exact"/>
              <w:rPr>
                <w:sz w:val="20"/>
                <w:szCs w:val="20"/>
                <w:color w:val="auto"/>
              </w:rPr>
            </w:pPr>
            <w:r>
              <w:rPr>
                <w:rFonts w:ascii="Arial" w:cs="Arial" w:eastAsia="Arial" w:hAnsi="Arial"/>
                <w:sz w:val="18"/>
                <w:szCs w:val="18"/>
                <w:color w:val="0000EE"/>
                <w:w w:val="93"/>
              </w:rPr>
              <w:t>Potential Payments and Benefits Upon Termination With a Change in Control</w:t>
            </w:r>
          </w:p>
        </w:tc>
        <w:tc>
          <w:tcPr>
            <w:tcW w:w="220" w:type="dxa"/>
            <w:vAlign w:val="bottom"/>
            <w:shd w:val="clear" w:color="auto" w:fill="CCEEFF"/>
          </w:tcPr>
          <w:p>
            <w:pPr>
              <w:spacing w:after="0"/>
              <w:rPr>
                <w:sz w:val="17"/>
                <w:szCs w:val="17"/>
                <w:color w:val="auto"/>
              </w:rPr>
            </w:pPr>
          </w:p>
        </w:tc>
        <w:tc>
          <w:tcPr>
            <w:tcW w:w="2420" w:type="dxa"/>
            <w:vAlign w:val="bottom"/>
            <w:gridSpan w:val="8"/>
            <w:shd w:val="clear" w:color="auto" w:fill="CCEEFF"/>
          </w:tcPr>
          <w:p>
            <w:pPr>
              <w:spacing w:after="0"/>
              <w:rPr>
                <w:sz w:val="17"/>
                <w:szCs w:val="17"/>
                <w:color w:val="auto"/>
              </w:rPr>
            </w:pPr>
          </w:p>
        </w:tc>
        <w:tc>
          <w:tcPr>
            <w:tcW w:w="380" w:type="dxa"/>
            <w:vAlign w:val="bottom"/>
            <w:tcBorders>
              <w:right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54</w:t>
            </w:r>
          </w:p>
        </w:tc>
        <w:tc>
          <w:tcPr>
            <w:tcW w:w="4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780" w:type="dxa"/>
            <w:vAlign w:val="bottom"/>
            <w:gridSpan w:val="18"/>
          </w:tcPr>
          <w:p>
            <w:pPr>
              <w:spacing w:after="0" w:line="196" w:lineRule="exact"/>
              <w:rPr>
                <w:sz w:val="20"/>
                <w:szCs w:val="20"/>
                <w:color w:val="auto"/>
              </w:rPr>
            </w:pPr>
            <w:r>
              <w:rPr>
                <w:rFonts w:ascii="Arial" w:cs="Arial" w:eastAsia="Arial" w:hAnsi="Arial"/>
                <w:sz w:val="18"/>
                <w:szCs w:val="18"/>
                <w:color w:val="0000EE"/>
              </w:rPr>
              <w:t>Equity Compensation Plan Information</w:t>
            </w:r>
          </w:p>
        </w:tc>
        <w:tc>
          <w:tcPr>
            <w:tcW w:w="2640" w:type="dxa"/>
            <w:vAlign w:val="bottom"/>
            <w:gridSpan w:val="9"/>
          </w:tcPr>
          <w:p>
            <w:pPr>
              <w:spacing w:after="0"/>
              <w:rPr>
                <w:sz w:val="17"/>
                <w:szCs w:val="17"/>
                <w:color w:val="auto"/>
              </w:rPr>
            </w:pPr>
          </w:p>
        </w:tc>
        <w:tc>
          <w:tcPr>
            <w:tcW w:w="3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55</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4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0000EE"/>
              </w:rPr>
              <w:t>CEO Pay Ratio</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55</w:t>
            </w:r>
          </w:p>
        </w:tc>
        <w:tc>
          <w:tcPr>
            <w:tcW w:w="4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420" w:type="dxa"/>
            <w:vAlign w:val="bottom"/>
            <w:gridSpan w:val="27"/>
          </w:tcPr>
          <w:p>
            <w:pPr>
              <w:spacing w:after="0" w:line="196" w:lineRule="exact"/>
              <w:rPr>
                <w:sz w:val="20"/>
                <w:szCs w:val="20"/>
                <w:color w:val="auto"/>
              </w:rPr>
            </w:pPr>
            <w:r>
              <w:rPr>
                <w:rFonts w:ascii="Arial" w:cs="Arial" w:eastAsia="Arial" w:hAnsi="Arial"/>
                <w:sz w:val="18"/>
                <w:szCs w:val="18"/>
                <w:color w:val="0000EE"/>
              </w:rPr>
              <w:t>Historical Pay Versus Performance Disclosure</w:t>
            </w:r>
          </w:p>
        </w:tc>
        <w:tc>
          <w:tcPr>
            <w:tcW w:w="3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56</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shd w:val="clear" w:color="auto" w:fill="CCEEFF"/>
          </w:tcPr>
          <w:p>
            <w:pPr>
              <w:spacing w:after="0"/>
              <w:rPr>
                <w:sz w:val="15"/>
                <w:szCs w:val="15"/>
                <w:color w:val="auto"/>
              </w:rPr>
            </w:pPr>
          </w:p>
        </w:tc>
        <w:tc>
          <w:tcPr>
            <w:tcW w:w="8420" w:type="dxa"/>
            <w:vAlign w:val="bottom"/>
            <w:gridSpan w:val="27"/>
            <w:shd w:val="clear" w:color="auto" w:fill="CCEEFF"/>
          </w:tcPr>
          <w:p>
            <w:pPr>
              <w:spacing w:after="0" w:line="182" w:lineRule="exact"/>
              <w:rPr>
                <w:sz w:val="20"/>
                <w:szCs w:val="20"/>
                <w:color w:val="auto"/>
              </w:rPr>
            </w:pPr>
            <w:r>
              <w:rPr>
                <w:rFonts w:ascii="Arial" w:cs="Arial" w:eastAsia="Arial" w:hAnsi="Arial"/>
                <w:sz w:val="18"/>
                <w:szCs w:val="18"/>
                <w:color w:val="0000EE"/>
                <w:w w:val="96"/>
              </w:rPr>
              <w:t>Policies and Practices Related to the Grant of Certain Equity Awards Close in Time to the Release of Material</w:t>
            </w:r>
          </w:p>
        </w:tc>
        <w:tc>
          <w:tcPr>
            <w:tcW w:w="38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00EE"/>
                <w:w w:val="89"/>
              </w:rPr>
              <w:t>60</w:t>
            </w:r>
          </w:p>
        </w:tc>
        <w:tc>
          <w:tcPr>
            <w:tcW w:w="40" w:type="dxa"/>
            <w:vAlign w:val="bottom"/>
            <w:tcBorders>
              <w:left w:val="single" w:sz="8" w:color="CCEEFF"/>
            </w:tcBorders>
            <w:shd w:val="clear" w:color="auto" w:fill="CCEEFF"/>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660" w:type="dxa"/>
            <w:vAlign w:val="bottom"/>
            <w:tcBorders>
              <w:top w:val="single" w:sz="8" w:color="0000EE"/>
            </w:tcBorders>
            <w:gridSpan w:val="7"/>
            <w:shd w:val="clear" w:color="auto" w:fill="CCEEFF"/>
          </w:tcPr>
          <w:p>
            <w:pPr>
              <w:spacing w:after="0" w:line="196" w:lineRule="exact"/>
              <w:rPr>
                <w:sz w:val="20"/>
                <w:szCs w:val="20"/>
                <w:color w:val="auto"/>
              </w:rPr>
            </w:pPr>
            <w:r>
              <w:rPr>
                <w:rFonts w:ascii="Arial" w:cs="Arial" w:eastAsia="Arial" w:hAnsi="Arial"/>
                <w:sz w:val="18"/>
                <w:szCs w:val="18"/>
                <w:color w:val="0000EE"/>
                <w:w w:val="93"/>
              </w:rPr>
              <w:t>Nonpublic Information</w:t>
            </w:r>
          </w:p>
        </w:tc>
        <w:tc>
          <w:tcPr>
            <w:tcW w:w="3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righ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13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64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gridSpan w:val="3"/>
            <w:vMerge w:val="continue"/>
            <w:shd w:val="clear" w:color="auto" w:fill="CCEEFF"/>
          </w:tcPr>
          <w:p>
            <w:pPr>
              <w:spacing w:after="0"/>
              <w:rPr>
                <w:sz w:val="17"/>
                <w:szCs w:val="17"/>
                <w:color w:val="auto"/>
              </w:rPr>
            </w:pPr>
          </w:p>
        </w:tc>
        <w:tc>
          <w:tcPr>
            <w:tcW w:w="180" w:type="dxa"/>
            <w:vAlign w:val="bottom"/>
            <w:tcBorders>
              <w:top w:val="single" w:sz="8" w:color="CCEEFF"/>
            </w:tcBorders>
            <w:vMerge w:val="continue"/>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20" w:type="dxa"/>
            <w:vAlign w:val="bottom"/>
            <w:gridSpan w:val="9"/>
          </w:tcPr>
          <w:p>
            <w:pPr>
              <w:spacing w:after="0"/>
              <w:rPr>
                <w:sz w:val="20"/>
                <w:szCs w:val="20"/>
                <w:color w:val="auto"/>
              </w:rPr>
            </w:pPr>
            <w:r>
              <w:rPr>
                <w:rFonts w:ascii="Arial" w:cs="Arial" w:eastAsia="Arial" w:hAnsi="Arial"/>
                <w:sz w:val="20"/>
                <w:szCs w:val="20"/>
                <w:b w:val="1"/>
                <w:bCs w:val="1"/>
                <w:color w:val="0000EE"/>
              </w:rPr>
              <w:t>PROPOSAL THREE:</w:t>
            </w:r>
          </w:p>
        </w:tc>
        <w:tc>
          <w:tcPr>
            <w:tcW w:w="6580" w:type="dxa"/>
            <w:vAlign w:val="bottom"/>
            <w:gridSpan w:val="19"/>
          </w:tcPr>
          <w:p>
            <w:pPr>
              <w:spacing w:after="0"/>
              <w:rPr>
                <w:sz w:val="20"/>
                <w:szCs w:val="20"/>
                <w:color w:val="auto"/>
              </w:rPr>
            </w:pPr>
            <w:r>
              <w:rPr>
                <w:rFonts w:ascii="Arial" w:cs="Arial" w:eastAsia="Arial" w:hAnsi="Arial"/>
                <w:sz w:val="20"/>
                <w:szCs w:val="20"/>
                <w:b w:val="1"/>
                <w:bCs w:val="1"/>
                <w:color w:val="0000EE"/>
              </w:rPr>
              <w:t>ADVISORY VOTE ON EXECUTIVE COMPENSATION</w:t>
            </w:r>
          </w:p>
        </w:tc>
        <w:tc>
          <w:tcPr>
            <w:tcW w:w="380" w:type="dxa"/>
            <w:vAlign w:val="bottom"/>
            <w:gridSpan w:val="3"/>
          </w:tcPr>
          <w:p>
            <w:pPr>
              <w:ind w:left="120"/>
              <w:spacing w:after="0"/>
              <w:rPr>
                <w:sz w:val="20"/>
                <w:szCs w:val="20"/>
                <w:color w:val="auto"/>
              </w:rPr>
            </w:pPr>
            <w:r>
              <w:rPr>
                <w:rFonts w:ascii="Arial" w:cs="Arial" w:eastAsia="Arial" w:hAnsi="Arial"/>
                <w:sz w:val="20"/>
                <w:szCs w:val="20"/>
                <w:b w:val="1"/>
                <w:bCs w:val="1"/>
                <w:color w:val="auto"/>
              </w:rPr>
              <w:t>​​​</w:t>
            </w:r>
          </w:p>
        </w:tc>
        <w:tc>
          <w:tcPr>
            <w:tcW w:w="280" w:type="dxa"/>
            <w:vAlign w:val="bottom"/>
            <w:gridSpan w:val="3"/>
          </w:tcPr>
          <w:p>
            <w:pPr>
              <w:jc w:val="right"/>
              <w:spacing w:after="0"/>
              <w:rPr>
                <w:sz w:val="20"/>
                <w:szCs w:val="20"/>
                <w:color w:val="auto"/>
              </w:rPr>
            </w:pPr>
            <w:r>
              <w:rPr>
                <w:rFonts w:ascii="Arial" w:cs="Arial" w:eastAsia="Arial" w:hAnsi="Arial"/>
                <w:sz w:val="20"/>
                <w:szCs w:val="20"/>
                <w:b w:val="1"/>
                <w:bCs w:val="1"/>
                <w:color w:val="0000EE"/>
              </w:rPr>
              <w:t>61</w:t>
            </w:r>
            <w:r>
              <w:rPr>
                <w:rFonts w:ascii="Arial" w:cs="Arial" w:eastAsia="Arial" w:hAnsi="Arial"/>
                <w:sz w:val="20"/>
                <w:szCs w:val="20"/>
                <w:b w:val="1"/>
                <w:bCs w:val="1"/>
                <w:color w:val="000000"/>
              </w:rPr>
              <w:t>​</w:t>
            </w:r>
          </w:p>
        </w:tc>
        <w:tc>
          <w:tcPr>
            <w:tcW w:w="0" w:type="dxa"/>
            <w:vAlign w:val="bottom"/>
          </w:tcPr>
          <w:p>
            <w:pPr>
              <w:spacing w:after="0"/>
              <w:rPr>
                <w:sz w:val="1"/>
                <w:szCs w:val="1"/>
                <w:color w:val="auto"/>
              </w:rPr>
            </w:pPr>
          </w:p>
        </w:tc>
      </w:tr>
      <w:tr>
        <w:trPr>
          <w:trHeight w:val="21"/>
        </w:trPr>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20" w:type="dxa"/>
            <w:vAlign w:val="bottom"/>
            <w:gridSpan w:val="9"/>
            <w:shd w:val="clear" w:color="auto" w:fill="CCEEFF"/>
          </w:tcPr>
          <w:p>
            <w:pPr>
              <w:spacing w:after="0"/>
              <w:rPr>
                <w:sz w:val="20"/>
                <w:szCs w:val="20"/>
                <w:color w:val="auto"/>
              </w:rPr>
            </w:pPr>
            <w:r>
              <w:rPr>
                <w:rFonts w:ascii="Arial" w:cs="Arial" w:eastAsia="Arial" w:hAnsi="Arial"/>
                <w:sz w:val="20"/>
                <w:szCs w:val="20"/>
                <w:b w:val="1"/>
                <w:bCs w:val="1"/>
                <w:color w:val="0000EE"/>
              </w:rPr>
              <w:t>PROPOSAL FOUR:</w:t>
            </w:r>
          </w:p>
        </w:tc>
        <w:tc>
          <w:tcPr>
            <w:tcW w:w="6580" w:type="dxa"/>
            <w:vAlign w:val="bottom"/>
            <w:gridSpan w:val="19"/>
            <w:shd w:val="clear" w:color="auto" w:fill="CCEEFF"/>
          </w:tcPr>
          <w:p>
            <w:pPr>
              <w:spacing w:after="0"/>
              <w:rPr>
                <w:sz w:val="20"/>
                <w:szCs w:val="20"/>
                <w:color w:val="auto"/>
              </w:rPr>
            </w:pPr>
            <w:r>
              <w:rPr>
                <w:rFonts w:ascii="Arial" w:cs="Arial" w:eastAsia="Arial" w:hAnsi="Arial"/>
                <w:sz w:val="20"/>
                <w:szCs w:val="20"/>
                <w:b w:val="1"/>
                <w:bCs w:val="1"/>
                <w:color w:val="0000EE"/>
                <w:w w:val="91"/>
              </w:rPr>
              <w:t>ADVISORY VOTE ON THE FREQUENCY OF FUTURE ADVISORY VOTES ON</w:t>
            </w:r>
          </w:p>
        </w:tc>
        <w:tc>
          <w:tcPr>
            <w:tcW w:w="38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20"/>
                <w:szCs w:val="20"/>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0000EE"/>
                <w:w w:val="80"/>
              </w:rPr>
              <w:t>62</w:t>
            </w:r>
          </w:p>
        </w:tc>
        <w:tc>
          <w:tcPr>
            <w:tcW w:w="40" w:type="dxa"/>
            <w:vAlign w:val="bottom"/>
            <w:tcBorders>
              <w:left w:val="single" w:sz="8" w:color="CCEEFF"/>
            </w:tcBorders>
            <w:shd w:val="clear" w:color="auto" w:fill="CCEEFF"/>
          </w:tcPr>
          <w:p>
            <w:pPr>
              <w:spacing w:after="0"/>
              <w:rPr>
                <w:sz w:val="24"/>
                <w:szCs w:val="24"/>
                <w:color w:val="auto"/>
              </w:rPr>
            </w:pPr>
          </w:p>
        </w:tc>
        <w:tc>
          <w:tcPr>
            <w:tcW w:w="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0000EE"/>
              <w:bottom w:val="single" w:sz="8" w:color="auto"/>
            </w:tcBorders>
            <w:shd w:val="clear" w:color="auto" w:fill="CCEEFF"/>
          </w:tcPr>
          <w:p>
            <w:pPr>
              <w:spacing w:after="0"/>
              <w:rPr>
                <w:sz w:val="18"/>
                <w:szCs w:val="18"/>
                <w:color w:val="auto"/>
              </w:rPr>
            </w:pPr>
          </w:p>
        </w:tc>
        <w:tc>
          <w:tcPr>
            <w:tcW w:w="180" w:type="dxa"/>
            <w:vAlign w:val="bottom"/>
            <w:tcBorders>
              <w:top w:val="single" w:sz="8" w:color="0000EE"/>
              <w:bottom w:val="single" w:sz="8" w:color="auto"/>
            </w:tcBorders>
            <w:shd w:val="clear" w:color="auto" w:fill="CCEEFF"/>
          </w:tcPr>
          <w:p>
            <w:pPr>
              <w:spacing w:after="0"/>
              <w:rPr>
                <w:sz w:val="18"/>
                <w:szCs w:val="18"/>
                <w:color w:val="auto"/>
              </w:rPr>
            </w:pPr>
          </w:p>
        </w:tc>
        <w:tc>
          <w:tcPr>
            <w:tcW w:w="580" w:type="dxa"/>
            <w:vAlign w:val="bottom"/>
            <w:tcBorders>
              <w:top w:val="single" w:sz="8" w:color="0000EE"/>
              <w:bottom w:val="single" w:sz="8" w:color="auto"/>
            </w:tcBorders>
            <w:shd w:val="clear" w:color="auto" w:fill="CCEEFF"/>
          </w:tcPr>
          <w:p>
            <w:pPr>
              <w:spacing w:after="0"/>
              <w:rPr>
                <w:sz w:val="18"/>
                <w:szCs w:val="18"/>
                <w:color w:val="auto"/>
              </w:rPr>
            </w:pPr>
          </w:p>
        </w:tc>
        <w:tc>
          <w:tcPr>
            <w:tcW w:w="400" w:type="dxa"/>
            <w:vAlign w:val="bottom"/>
            <w:tcBorders>
              <w:top w:val="single" w:sz="8" w:color="0000EE"/>
              <w:bottom w:val="single" w:sz="8" w:color="auto"/>
            </w:tcBorders>
            <w:shd w:val="clear" w:color="auto" w:fill="CCEEFF"/>
          </w:tcPr>
          <w:p>
            <w:pPr>
              <w:spacing w:after="0"/>
              <w:rPr>
                <w:sz w:val="18"/>
                <w:szCs w:val="18"/>
                <w:color w:val="auto"/>
              </w:rPr>
            </w:pPr>
          </w:p>
        </w:tc>
        <w:tc>
          <w:tcPr>
            <w:tcW w:w="240" w:type="dxa"/>
            <w:vAlign w:val="bottom"/>
            <w:tcBorders>
              <w:top w:val="single" w:sz="8" w:color="0000EE"/>
              <w:bottom w:val="single" w:sz="8" w:color="auto"/>
            </w:tcBorders>
            <w:shd w:val="clear" w:color="auto" w:fill="CCEEFF"/>
          </w:tcPr>
          <w:p>
            <w:pPr>
              <w:spacing w:after="0"/>
              <w:rPr>
                <w:sz w:val="18"/>
                <w:szCs w:val="18"/>
                <w:color w:val="auto"/>
              </w:rPr>
            </w:pPr>
          </w:p>
        </w:tc>
        <w:tc>
          <w:tcPr>
            <w:tcW w:w="140" w:type="dxa"/>
            <w:vAlign w:val="bottom"/>
            <w:tcBorders>
              <w:top w:val="single" w:sz="8" w:color="0000EE"/>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6480" w:type="dxa"/>
            <w:vAlign w:val="bottom"/>
            <w:tcBorders>
              <w:top w:val="single" w:sz="8" w:color="0000EE"/>
              <w:bottom w:val="single" w:sz="8" w:color="auto"/>
            </w:tcBorders>
            <w:gridSpan w:val="18"/>
            <w:shd w:val="clear" w:color="auto" w:fill="CCEEFF"/>
          </w:tcPr>
          <w:p>
            <w:pPr>
              <w:spacing w:after="0" w:line="156" w:lineRule="exact"/>
              <w:rPr>
                <w:sz w:val="20"/>
                <w:szCs w:val="20"/>
                <w:color w:val="auto"/>
              </w:rPr>
            </w:pPr>
            <w:r>
              <w:rPr>
                <w:rFonts w:ascii="Arial" w:cs="Arial" w:eastAsia="Arial" w:hAnsi="Arial"/>
                <w:sz w:val="18"/>
                <w:szCs w:val="18"/>
                <w:b w:val="1"/>
                <w:bCs w:val="1"/>
                <w:color w:val="0000EE"/>
              </w:rPr>
              <w:t>EXECUTIVE COMPENSATION</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80" w:type="dxa"/>
            <w:vAlign w:val="bottom"/>
            <w:tcBorders>
              <w:top w:val="single" w:sz="8" w:color="CCEEFF"/>
              <w:bottom w:val="single" w:sz="8" w:color="auto"/>
              <w:right w:val="single" w:sz="8" w:color="CCEEFF"/>
            </w:tcBorders>
            <w:gridSpan w:val="3"/>
            <w:vMerge w:val="continue"/>
            <w:shd w:val="clear" w:color="auto" w:fill="CCEEFF"/>
          </w:tcPr>
          <w:p>
            <w:pPr>
              <w:spacing w:after="0"/>
              <w:rPr>
                <w:sz w:val="18"/>
                <w:szCs w:val="18"/>
                <w:color w:val="auto"/>
              </w:rPr>
            </w:pPr>
          </w:p>
        </w:tc>
        <w:tc>
          <w:tcPr>
            <w:tcW w:w="180" w:type="dxa"/>
            <w:vAlign w:val="bottom"/>
            <w:tcBorders>
              <w:top w:val="single" w:sz="8" w:color="CCEEFF"/>
              <w:bottom w:val="single" w:sz="8" w:color="auto"/>
            </w:tcBorders>
            <w:vMerge w:val="continue"/>
            <w:shd w:val="clear" w:color="auto" w:fill="CCEEFF"/>
          </w:tcPr>
          <w:p>
            <w:pPr>
              <w:spacing w:after="0"/>
              <w:rPr>
                <w:sz w:val="18"/>
                <w:szCs w:val="18"/>
                <w:color w:val="auto"/>
              </w:rPr>
            </w:pPr>
          </w:p>
        </w:tc>
        <w:tc>
          <w:tcPr>
            <w:tcW w:w="40" w:type="dxa"/>
            <w:vAlign w:val="bottom"/>
            <w:tcBorders>
              <w:top w:val="single" w:sz="8" w:color="CCEEFF"/>
              <w:left w:val="single" w:sz="8" w:color="CCEEFF"/>
              <w:bottom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20" w:type="dxa"/>
            <w:vAlign w:val="bottom"/>
            <w:gridSpan w:val="9"/>
          </w:tcPr>
          <w:p>
            <w:pPr>
              <w:spacing w:after="0"/>
              <w:rPr>
                <w:sz w:val="20"/>
                <w:szCs w:val="20"/>
                <w:color w:val="auto"/>
              </w:rPr>
            </w:pPr>
            <w:r>
              <w:rPr>
                <w:rFonts w:ascii="Arial" w:cs="Arial" w:eastAsia="Arial" w:hAnsi="Arial"/>
                <w:sz w:val="20"/>
                <w:szCs w:val="20"/>
                <w:b w:val="1"/>
                <w:bCs w:val="1"/>
                <w:color w:val="0000EE"/>
              </w:rPr>
              <w:t>PROPOSAL FIVE:</w:t>
            </w:r>
          </w:p>
        </w:tc>
        <w:tc>
          <w:tcPr>
            <w:tcW w:w="6580" w:type="dxa"/>
            <w:vAlign w:val="bottom"/>
            <w:gridSpan w:val="19"/>
          </w:tcPr>
          <w:p>
            <w:pPr>
              <w:spacing w:after="0"/>
              <w:rPr>
                <w:sz w:val="20"/>
                <w:szCs w:val="20"/>
                <w:color w:val="auto"/>
              </w:rPr>
            </w:pPr>
            <w:r>
              <w:rPr>
                <w:rFonts w:ascii="Arial" w:cs="Arial" w:eastAsia="Arial" w:hAnsi="Arial"/>
                <w:sz w:val="20"/>
                <w:szCs w:val="20"/>
                <w:b w:val="1"/>
                <w:bCs w:val="1"/>
                <w:color w:val="0000EE"/>
                <w:w w:val="91"/>
              </w:rPr>
              <w:t>APPROVAL OF THE UPBOUND GROUP, INC. 2026 LONG-TERM INCENTIVE</w:t>
            </w:r>
          </w:p>
        </w:tc>
        <w:tc>
          <w:tcPr>
            <w:tcW w:w="380" w:type="dxa"/>
            <w:vAlign w:val="bottom"/>
            <w:gridSpan w:val="3"/>
            <w:vMerge w:val="restart"/>
          </w:tcPr>
          <w:p>
            <w:pPr>
              <w:ind w:left="120"/>
              <w:spacing w:after="0"/>
              <w:rPr>
                <w:sz w:val="20"/>
                <w:szCs w:val="20"/>
                <w:color w:val="auto"/>
              </w:rPr>
            </w:pPr>
            <w:r>
              <w:rPr>
                <w:rFonts w:ascii="Arial" w:cs="Arial" w:eastAsia="Arial" w:hAnsi="Arial"/>
                <w:sz w:val="20"/>
                <w:szCs w:val="20"/>
                <w:b w:val="1"/>
                <w:bCs w:val="1"/>
                <w:color w:val="auto"/>
              </w:rPr>
              <w:t>​​​</w:t>
            </w: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EE"/>
              </w:rPr>
              <w:t>63</w:t>
            </w:r>
            <w:r>
              <w:rPr>
                <w:rFonts w:ascii="Arial" w:cs="Arial" w:eastAsia="Arial" w:hAnsi="Arial"/>
                <w:sz w:val="20"/>
                <w:szCs w:val="20"/>
                <w:b w:val="1"/>
                <w:bCs w:val="1"/>
                <w:color w:val="000000"/>
              </w:rPr>
              <w:t>​</w:t>
            </w:r>
          </w:p>
        </w:tc>
        <w:tc>
          <w:tcPr>
            <w:tcW w:w="0" w:type="dxa"/>
            <w:vAlign w:val="bottom"/>
          </w:tcPr>
          <w:p>
            <w:pPr>
              <w:spacing w:after="0"/>
              <w:rPr>
                <w:sz w:val="1"/>
                <w:szCs w:val="1"/>
                <w:color w:val="auto"/>
              </w:rPr>
            </w:pPr>
          </w:p>
        </w:tc>
      </w:tr>
      <w:tr>
        <w:trPr>
          <w:trHeight w:val="169"/>
        </w:trPr>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40" w:type="dxa"/>
            <w:vAlign w:val="bottom"/>
            <w:tcBorders>
              <w:top w:val="single" w:sz="8" w:color="0000EE"/>
            </w:tcBorders>
            <w:gridSpan w:val="17"/>
          </w:tcPr>
          <w:p>
            <w:pPr>
              <w:spacing w:after="0" w:line="156" w:lineRule="exact"/>
              <w:rPr>
                <w:sz w:val="20"/>
                <w:szCs w:val="20"/>
                <w:color w:val="auto"/>
              </w:rPr>
            </w:pPr>
            <w:r>
              <w:rPr>
                <w:rFonts w:ascii="Arial" w:cs="Arial" w:eastAsia="Arial" w:hAnsi="Arial"/>
                <w:sz w:val="18"/>
                <w:szCs w:val="18"/>
                <w:b w:val="1"/>
                <w:bCs w:val="1"/>
                <w:color w:val="0000EE"/>
              </w:rPr>
              <w:t>PLAN</w:t>
            </w:r>
          </w:p>
        </w:tc>
        <w:tc>
          <w:tcPr>
            <w:tcW w:w="14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600" w:type="dxa"/>
            <w:vAlign w:val="bottom"/>
            <w:tcBorders>
              <w:bottom w:val="single" w:sz="8" w:color="auto"/>
            </w:tcBorders>
            <w:gridSpan w:val="28"/>
            <w:shd w:val="clear" w:color="auto" w:fill="CCEEFF"/>
          </w:tcPr>
          <w:p>
            <w:pPr>
              <w:spacing w:after="0"/>
              <w:rPr>
                <w:sz w:val="20"/>
                <w:szCs w:val="20"/>
                <w:color w:val="auto"/>
              </w:rPr>
            </w:pPr>
            <w:r>
              <w:rPr>
                <w:rFonts w:ascii="Arial" w:cs="Arial" w:eastAsia="Arial" w:hAnsi="Arial"/>
                <w:sz w:val="20"/>
                <w:szCs w:val="20"/>
                <w:b w:val="1"/>
                <w:bCs w:val="1"/>
                <w:color w:val="0000EE"/>
              </w:rPr>
              <w:t>SECURITY OWNERSHIP OF CERTAIN BENEFICIAL OWNERS AND MANAGEMENT</w:t>
            </w:r>
          </w:p>
        </w:tc>
        <w:tc>
          <w:tcPr>
            <w:tcW w:w="380" w:type="dxa"/>
            <w:vAlign w:val="bottom"/>
            <w:tcBorders>
              <w:bottom w:val="single" w:sz="8" w:color="auto"/>
              <w:right w:val="single" w:sz="8" w:color="CCEEFF"/>
            </w:tcBorders>
            <w:gridSpan w:val="3"/>
            <w:shd w:val="clear" w:color="auto" w:fill="CCEEFF"/>
          </w:tcPr>
          <w:p>
            <w:pPr>
              <w:ind w:left="120"/>
              <w:spacing w:after="0"/>
              <w:rPr>
                <w:sz w:val="20"/>
                <w:szCs w:val="20"/>
                <w:color w:val="auto"/>
              </w:rPr>
            </w:pPr>
            <w:r>
              <w:rPr>
                <w:rFonts w:ascii="Arial" w:cs="Arial" w:eastAsia="Arial" w:hAnsi="Arial"/>
                <w:sz w:val="20"/>
                <w:szCs w:val="20"/>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0000EE"/>
                <w:w w:val="80"/>
              </w:rPr>
              <w:t>70</w:t>
            </w:r>
          </w:p>
        </w:tc>
        <w:tc>
          <w:tcPr>
            <w:tcW w:w="40" w:type="dxa"/>
            <w:vAlign w:val="bottom"/>
            <w:tcBorders>
              <w:left w:val="single" w:sz="8" w:color="CCEEFF"/>
              <w:bottom w:val="single" w:sz="8" w:color="auto"/>
            </w:tcBorders>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425"/>
        </w:trPr>
        <w:tc>
          <w:tcPr>
            <w:tcW w:w="2020" w:type="dxa"/>
            <w:vAlign w:val="bottom"/>
            <w:gridSpan w:val="9"/>
          </w:tcPr>
          <w:p>
            <w:pPr>
              <w:spacing w:after="0"/>
              <w:rPr>
                <w:sz w:val="20"/>
                <w:szCs w:val="20"/>
                <w:color w:val="auto"/>
              </w:rPr>
            </w:pPr>
            <w:r>
              <w:rPr>
                <w:rFonts w:ascii="Arial" w:cs="Arial" w:eastAsia="Arial" w:hAnsi="Arial"/>
                <w:sz w:val="20"/>
                <w:szCs w:val="20"/>
                <w:b w:val="1"/>
                <w:bCs w:val="1"/>
                <w:color w:val="0000EE"/>
                <w:w w:val="92"/>
              </w:rPr>
              <w:t>OTHER INFORMATION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3"/>
          </w:tcPr>
          <w:p>
            <w:pPr>
              <w:ind w:left="120"/>
              <w:spacing w:after="0"/>
              <w:rPr>
                <w:sz w:val="20"/>
                <w:szCs w:val="20"/>
                <w:color w:val="auto"/>
              </w:rPr>
            </w:pPr>
            <w:r>
              <w:rPr>
                <w:rFonts w:ascii="Arial" w:cs="Arial" w:eastAsia="Arial" w:hAnsi="Arial"/>
                <w:sz w:val="20"/>
                <w:szCs w:val="20"/>
                <w:b w:val="1"/>
                <w:bCs w:val="1"/>
                <w:color w:val="auto"/>
              </w:rPr>
              <w:t>​​​</w:t>
            </w:r>
          </w:p>
        </w:tc>
        <w:tc>
          <w:tcPr>
            <w:tcW w:w="280" w:type="dxa"/>
            <w:vAlign w:val="bottom"/>
            <w:gridSpan w:val="3"/>
          </w:tcPr>
          <w:p>
            <w:pPr>
              <w:jc w:val="right"/>
              <w:spacing w:after="0"/>
              <w:rPr>
                <w:sz w:val="20"/>
                <w:szCs w:val="20"/>
                <w:color w:val="auto"/>
              </w:rPr>
            </w:pPr>
            <w:r>
              <w:rPr>
                <w:rFonts w:ascii="Arial" w:cs="Arial" w:eastAsia="Arial" w:hAnsi="Arial"/>
                <w:sz w:val="20"/>
                <w:szCs w:val="20"/>
                <w:b w:val="1"/>
                <w:bCs w:val="1"/>
                <w:color w:val="0000EE"/>
              </w:rPr>
              <w:t>72</w:t>
            </w:r>
            <w:r>
              <w:rPr>
                <w:rFonts w:ascii="Arial" w:cs="Arial" w:eastAsia="Arial" w:hAnsi="Arial"/>
                <w:sz w:val="20"/>
                <w:szCs w:val="20"/>
                <w:b w:val="1"/>
                <w:bCs w:val="1"/>
                <w:color w:val="000000"/>
              </w:rPr>
              <w:t>​</w:t>
            </w:r>
          </w:p>
        </w:tc>
        <w:tc>
          <w:tcPr>
            <w:tcW w:w="0" w:type="dxa"/>
            <w:vAlign w:val="bottom"/>
          </w:tcPr>
          <w:p>
            <w:pPr>
              <w:spacing w:after="0"/>
              <w:rPr>
                <w:sz w:val="1"/>
                <w:szCs w:val="1"/>
                <w:color w:val="auto"/>
              </w:rPr>
            </w:pPr>
          </w:p>
        </w:tc>
      </w:tr>
      <w:tr>
        <w:trPr>
          <w:trHeight w:val="21"/>
        </w:trPr>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420" w:type="dxa"/>
            <w:vAlign w:val="bottom"/>
            <w:gridSpan w:val="27"/>
            <w:shd w:val="clear" w:color="auto" w:fill="CCEEFF"/>
          </w:tcPr>
          <w:p>
            <w:pPr>
              <w:spacing w:after="0" w:line="196" w:lineRule="exact"/>
              <w:rPr>
                <w:sz w:val="20"/>
                <w:szCs w:val="20"/>
                <w:color w:val="auto"/>
              </w:rPr>
            </w:pPr>
            <w:r>
              <w:rPr>
                <w:rFonts w:ascii="Arial" w:cs="Arial" w:eastAsia="Arial" w:hAnsi="Arial"/>
                <w:sz w:val="18"/>
                <w:szCs w:val="18"/>
                <w:color w:val="0000EE"/>
              </w:rPr>
              <w:t>Delinquent Section 16(a) Reports</w:t>
            </w:r>
          </w:p>
        </w:tc>
        <w:tc>
          <w:tcPr>
            <w:tcW w:w="380" w:type="dxa"/>
            <w:vAlign w:val="bottom"/>
            <w:tcBorders>
              <w:right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72</w:t>
            </w:r>
          </w:p>
        </w:tc>
        <w:tc>
          <w:tcPr>
            <w:tcW w:w="4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420" w:type="dxa"/>
            <w:vAlign w:val="bottom"/>
            <w:gridSpan w:val="27"/>
          </w:tcPr>
          <w:p>
            <w:pPr>
              <w:spacing w:after="0" w:line="196" w:lineRule="exact"/>
              <w:rPr>
                <w:sz w:val="20"/>
                <w:szCs w:val="20"/>
                <w:color w:val="auto"/>
              </w:rPr>
            </w:pPr>
            <w:r>
              <w:rPr>
                <w:rFonts w:ascii="Arial" w:cs="Arial" w:eastAsia="Arial" w:hAnsi="Arial"/>
                <w:sz w:val="18"/>
                <w:szCs w:val="18"/>
                <w:color w:val="0000EE"/>
              </w:rPr>
              <w:t>Insider Trading Arrangements and Policies</w:t>
            </w:r>
          </w:p>
        </w:tc>
        <w:tc>
          <w:tcPr>
            <w:tcW w:w="3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72</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320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color w:val="0000EE"/>
              </w:rPr>
              <w:t>Annual Report on Form 10-K</w:t>
            </w:r>
          </w:p>
        </w:tc>
        <w:tc>
          <w:tcPr>
            <w:tcW w:w="5220" w:type="dxa"/>
            <w:vAlign w:val="bottom"/>
            <w:gridSpan w:val="12"/>
            <w:shd w:val="clear" w:color="auto" w:fill="CCEEFF"/>
          </w:tcPr>
          <w:p>
            <w:pPr>
              <w:spacing w:after="0"/>
              <w:rPr>
                <w:sz w:val="17"/>
                <w:szCs w:val="17"/>
                <w:color w:val="auto"/>
              </w:rPr>
            </w:pPr>
          </w:p>
        </w:tc>
        <w:tc>
          <w:tcPr>
            <w:tcW w:w="380" w:type="dxa"/>
            <w:vAlign w:val="bottom"/>
            <w:tcBorders>
              <w:right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72</w:t>
            </w:r>
          </w:p>
        </w:tc>
        <w:tc>
          <w:tcPr>
            <w:tcW w:w="4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2"/>
              </w:rPr>
              <w:t>“Householding” of Proxy Materials</w:t>
            </w:r>
          </w:p>
        </w:tc>
        <w:tc>
          <w:tcPr>
            <w:tcW w:w="5860" w:type="dxa"/>
            <w:vAlign w:val="bottom"/>
            <w:gridSpan w:val="16"/>
          </w:tcPr>
          <w:p>
            <w:pPr>
              <w:spacing w:after="0"/>
              <w:rPr>
                <w:sz w:val="17"/>
                <w:szCs w:val="17"/>
                <w:color w:val="auto"/>
              </w:rPr>
            </w:pPr>
          </w:p>
        </w:tc>
        <w:tc>
          <w:tcPr>
            <w:tcW w:w="3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72</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2820" w:type="dxa"/>
            <w:vAlign w:val="bottom"/>
            <w:gridSpan w:val="13"/>
            <w:shd w:val="clear" w:color="auto" w:fill="CCEEFF"/>
          </w:tcPr>
          <w:p>
            <w:pPr>
              <w:spacing w:after="0" w:line="196" w:lineRule="exact"/>
              <w:rPr>
                <w:sz w:val="20"/>
                <w:szCs w:val="20"/>
                <w:color w:val="auto"/>
              </w:rPr>
            </w:pPr>
            <w:r>
              <w:rPr>
                <w:rFonts w:ascii="Arial" w:cs="Arial" w:eastAsia="Arial" w:hAnsi="Arial"/>
                <w:sz w:val="18"/>
                <w:szCs w:val="18"/>
                <w:color w:val="0000EE"/>
                <w:w w:val="93"/>
              </w:rPr>
              <w:t>Submission of Stockholder Proposals</w:t>
            </w:r>
          </w:p>
        </w:tc>
        <w:tc>
          <w:tcPr>
            <w:tcW w:w="5600" w:type="dxa"/>
            <w:vAlign w:val="bottom"/>
            <w:gridSpan w:val="14"/>
            <w:shd w:val="clear" w:color="auto" w:fill="CCEEFF"/>
          </w:tcPr>
          <w:p>
            <w:pPr>
              <w:spacing w:after="0"/>
              <w:rPr>
                <w:sz w:val="17"/>
                <w:szCs w:val="17"/>
                <w:color w:val="auto"/>
              </w:rPr>
            </w:pPr>
          </w:p>
        </w:tc>
        <w:tc>
          <w:tcPr>
            <w:tcW w:w="380" w:type="dxa"/>
            <w:vAlign w:val="bottom"/>
            <w:tcBorders>
              <w:right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72</w:t>
            </w:r>
          </w:p>
        </w:tc>
        <w:tc>
          <w:tcPr>
            <w:tcW w:w="4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1840" w:type="dxa"/>
            <w:vAlign w:val="bottom"/>
            <w:gridSpan w:val="8"/>
          </w:tcPr>
          <w:p>
            <w:pPr>
              <w:spacing w:after="0"/>
              <w:rPr>
                <w:sz w:val="20"/>
                <w:szCs w:val="20"/>
                <w:color w:val="auto"/>
              </w:rPr>
            </w:pPr>
            <w:r>
              <w:rPr>
                <w:rFonts w:ascii="Arial" w:cs="Arial" w:eastAsia="Arial" w:hAnsi="Arial"/>
                <w:sz w:val="18"/>
                <w:szCs w:val="18"/>
                <w:color w:val="0000EE"/>
              </w:rPr>
              <w:t>Other Business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73</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20" w:type="dxa"/>
            <w:vAlign w:val="bottom"/>
            <w:tcBorders>
              <w:bottom w:val="single" w:sz="8" w:color="auto"/>
            </w:tcBorders>
            <w:gridSpan w:val="9"/>
            <w:shd w:val="clear" w:color="auto" w:fill="CCEEFF"/>
          </w:tcPr>
          <w:p>
            <w:pPr>
              <w:spacing w:after="0"/>
              <w:rPr>
                <w:sz w:val="20"/>
                <w:szCs w:val="20"/>
                <w:color w:val="auto"/>
              </w:rPr>
            </w:pPr>
            <w:r>
              <w:rPr>
                <w:rFonts w:ascii="Arial" w:cs="Arial" w:eastAsia="Arial" w:hAnsi="Arial"/>
                <w:sz w:val="20"/>
                <w:szCs w:val="20"/>
                <w:b w:val="1"/>
                <w:bCs w:val="1"/>
                <w:color w:val="0000EE"/>
              </w:rPr>
              <w:t>ANNEX A:</w:t>
            </w:r>
          </w:p>
        </w:tc>
        <w:tc>
          <w:tcPr>
            <w:tcW w:w="6580" w:type="dxa"/>
            <w:vAlign w:val="bottom"/>
            <w:tcBorders>
              <w:bottom w:val="single" w:sz="8" w:color="auto"/>
            </w:tcBorders>
            <w:gridSpan w:val="19"/>
            <w:shd w:val="clear" w:color="auto" w:fill="CCEEFF"/>
          </w:tcPr>
          <w:p>
            <w:pPr>
              <w:spacing w:after="0"/>
              <w:rPr>
                <w:sz w:val="20"/>
                <w:szCs w:val="20"/>
                <w:color w:val="auto"/>
              </w:rPr>
            </w:pPr>
            <w:r>
              <w:rPr>
                <w:rFonts w:ascii="Arial" w:cs="Arial" w:eastAsia="Arial" w:hAnsi="Arial"/>
                <w:sz w:val="20"/>
                <w:szCs w:val="20"/>
                <w:b w:val="1"/>
                <w:bCs w:val="1"/>
                <w:color w:val="0000EE"/>
              </w:rPr>
              <w:t>RECONCILIATION OF GAAP MEASURES TO NON-GAAP MEASURES</w:t>
            </w:r>
          </w:p>
        </w:tc>
        <w:tc>
          <w:tcPr>
            <w:tcW w:w="60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color w:val="0000EE"/>
              </w:rPr>
              <w:t>A-1</w:t>
            </w:r>
          </w:p>
        </w:tc>
        <w:tc>
          <w:tcPr>
            <w:tcW w:w="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439"/>
        </w:trPr>
        <w:tc>
          <w:tcPr>
            <w:tcW w:w="2020" w:type="dxa"/>
            <w:vAlign w:val="bottom"/>
            <w:gridSpan w:val="9"/>
          </w:tcPr>
          <w:p>
            <w:pPr>
              <w:spacing w:after="0"/>
              <w:rPr>
                <w:sz w:val="20"/>
                <w:szCs w:val="20"/>
                <w:color w:val="auto"/>
              </w:rPr>
            </w:pPr>
            <w:r>
              <w:rPr>
                <w:rFonts w:ascii="Arial" w:cs="Arial" w:eastAsia="Arial" w:hAnsi="Arial"/>
                <w:sz w:val="20"/>
                <w:szCs w:val="20"/>
                <w:b w:val="1"/>
                <w:bCs w:val="1"/>
                <w:color w:val="0000EE"/>
              </w:rPr>
              <w:t>ANNEX B:</w:t>
            </w:r>
          </w:p>
        </w:tc>
        <w:tc>
          <w:tcPr>
            <w:tcW w:w="6580" w:type="dxa"/>
            <w:vAlign w:val="bottom"/>
            <w:gridSpan w:val="19"/>
          </w:tcPr>
          <w:p>
            <w:pPr>
              <w:spacing w:after="0"/>
              <w:rPr>
                <w:sz w:val="20"/>
                <w:szCs w:val="20"/>
                <w:color w:val="auto"/>
              </w:rPr>
            </w:pPr>
            <w:r>
              <w:rPr>
                <w:rFonts w:ascii="Arial" w:cs="Arial" w:eastAsia="Arial" w:hAnsi="Arial"/>
                <w:sz w:val="20"/>
                <w:szCs w:val="20"/>
                <w:b w:val="1"/>
                <w:bCs w:val="1"/>
                <w:color w:val="0000EE"/>
              </w:rPr>
              <w:t>THE UPBOUND GROUP, INC. 2026 LONG-TERM INCENTIVE PLAN</w:t>
            </w:r>
          </w:p>
        </w:tc>
        <w:tc>
          <w:tcPr>
            <w:tcW w:w="660" w:type="dxa"/>
            <w:vAlign w:val="bottom"/>
            <w:gridSpan w:val="6"/>
          </w:tcPr>
          <w:p>
            <w:pPr>
              <w:ind w:left="12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color w:val="0000EE"/>
              </w:rPr>
              <w:t>B-1</w:t>
            </w: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-4636770</wp:posOffset>
            </wp:positionV>
            <wp:extent cx="5572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3364865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59"/>
        <w:spacing w:after="0"/>
        <w:rPr>
          <w:sz w:val="20"/>
          <w:szCs w:val="20"/>
          <w:color w:val="auto"/>
        </w:rPr>
      </w:pPr>
      <w:r>
        <w:rPr>
          <w:rFonts w:ascii="Arial" w:cs="Arial" w:eastAsia="Arial" w:hAnsi="Arial"/>
          <w:sz w:val="32"/>
          <w:szCs w:val="32"/>
          <w:b w:val="1"/>
          <w:bCs w:val="1"/>
          <w:color w:val="auto"/>
        </w:rPr>
        <w:t>Proxy Statement</w:t>
      </w:r>
    </w:p>
    <w:p>
      <w:pPr>
        <w:spacing w:after="0" w:line="14" w:lineRule="exact"/>
        <w:rPr>
          <w:sz w:val="20"/>
          <w:szCs w:val="20"/>
          <w:color w:val="auto"/>
        </w:rPr>
      </w:pPr>
    </w:p>
    <w:p>
      <w:pPr>
        <w:jc w:val="center"/>
        <w:ind w:right="-759"/>
        <w:spacing w:after="0"/>
        <w:rPr>
          <w:sz w:val="20"/>
          <w:szCs w:val="20"/>
          <w:color w:val="auto"/>
        </w:rPr>
      </w:pPr>
      <w:r>
        <w:rPr>
          <w:rFonts w:ascii="Arial" w:cs="Arial" w:eastAsia="Arial" w:hAnsi="Arial"/>
          <w:sz w:val="32"/>
          <w:szCs w:val="32"/>
          <w:b w:val="1"/>
          <w:bCs w:val="1"/>
          <w:color w:val="auto"/>
        </w:rPr>
        <w:t>For the Annual Meeting of Stockholders</w:t>
      </w:r>
    </w:p>
    <w:p>
      <w:pPr>
        <w:jc w:val="center"/>
        <w:ind w:right="-759"/>
        <w:spacing w:after="0"/>
        <w:rPr>
          <w:sz w:val="20"/>
          <w:szCs w:val="20"/>
          <w:color w:val="auto"/>
        </w:rPr>
      </w:pPr>
      <w:r>
        <w:rPr>
          <w:rFonts w:ascii="Arial" w:cs="Arial" w:eastAsia="Arial" w:hAnsi="Arial"/>
          <w:sz w:val="32"/>
          <w:szCs w:val="32"/>
          <w:b w:val="1"/>
          <w:bCs w:val="1"/>
          <w:color w:val="auto"/>
        </w:rPr>
        <w:t>To Be Held on June 2, 2026</w:t>
      </w:r>
    </w:p>
    <w:p>
      <w:pPr>
        <w:spacing w:after="0" w:line="127"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This proxy statement is furnished in connection with the solicitation of proxies by Upbound Group, Inc. on behalf of its board of directors (the “Board”), for the 2026 annual meeting of stockholders of the Company (the “2026 Annual Meeting”). In this proxy statement, references to “Upbound”, the “Company”, “we”, “us”, “our” and similar expressions refer to Upbound Group, Inc., unless the context of a particular reference provides otherwise. Although we refer to our website and other websites in this proxy statement, the information contained on our website or other websites is not a part of this proxy statement. The Notice of Internet Availability of Proxy Materials (the “Notice”) is being mailed on or about April 21, 2026 to stockholders of record as of April 7, 2026.</w:t>
      </w:r>
    </w:p>
    <w:p>
      <w:pPr>
        <w:spacing w:after="0" w:line="170" w:lineRule="exact"/>
        <w:rPr>
          <w:sz w:val="20"/>
          <w:szCs w:val="20"/>
          <w:color w:val="auto"/>
        </w:rPr>
      </w:pPr>
    </w:p>
    <w:p>
      <w:pPr>
        <w:jc w:val="center"/>
        <w:ind w:right="-779"/>
        <w:spacing w:after="0"/>
        <w:rPr>
          <w:sz w:val="20"/>
          <w:szCs w:val="20"/>
          <w:color w:val="auto"/>
        </w:rPr>
      </w:pPr>
      <w:r>
        <w:rPr>
          <w:rFonts w:ascii="Arial" w:cs="Arial" w:eastAsia="Arial" w:hAnsi="Arial"/>
          <w:sz w:val="29"/>
          <w:szCs w:val="29"/>
          <w:b w:val="1"/>
          <w:bCs w:val="1"/>
          <w:color w:val="auto"/>
        </w:rPr>
        <w:t>SUMMARY</w:t>
      </w:r>
    </w:p>
    <w:p>
      <w:pPr>
        <w:spacing w:after="0" w:line="159"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This summary highlights certain information contained elsewhere in this proxy statement. This summary does not contain all of the information that you should consider, and you should read the entire proxy statement carefully before voting. For information regarding our 2025 performance, please review our Annual Report on Form 10-K for the year ended December 31, 2025 (the “2025 Form 10-K”).</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Meeting Information</w:t>
      </w:r>
    </w:p>
    <w:p>
      <w:pPr>
        <w:spacing w:after="0" w:line="166"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color w:val="auto"/>
        </w:rPr>
        <w:t xml:space="preserve">Date &amp; Time: </w:t>
      </w:r>
      <w:r>
        <w:rPr>
          <w:rFonts w:ascii="Arial" w:cs="Arial" w:eastAsia="Arial" w:hAnsi="Arial"/>
          <w:sz w:val="16"/>
          <w:szCs w:val="16"/>
          <w:color w:val="auto"/>
        </w:rPr>
        <w:t>8:00 a.m., Central Time, on Tuesday, June 2, 2026, or at such other time to which the meeting may be adjourned</w:t>
      </w:r>
      <w:r>
        <w:rPr>
          <w:rFonts w:ascii="Arial" w:cs="Arial" w:eastAsia="Arial" w:hAnsi="Arial"/>
          <w:sz w:val="16"/>
          <w:szCs w:val="16"/>
          <w:b w:val="1"/>
          <w:bCs w:val="1"/>
          <w:color w:val="auto"/>
        </w:rPr>
        <w:t xml:space="preserve"> </w:t>
      </w:r>
      <w:r>
        <w:rPr>
          <w:rFonts w:ascii="Arial" w:cs="Arial" w:eastAsia="Arial" w:hAnsi="Arial"/>
          <w:sz w:val="16"/>
          <w:szCs w:val="16"/>
          <w:color w:val="auto"/>
        </w:rPr>
        <w:t>or postponed. References in this proxy statement to the 2026 Annual Meeting also refer to any adjournments, postponements or changes in time or location of the meeting, to the extent applicable.</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Upbound Group, Inc. Field Support Center, 5501 Headquarters Drive, Plano, Texas 75024.</w:t>
      </w:r>
    </w:p>
    <w:p>
      <w:pPr>
        <w:spacing w:after="0" w:line="167"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b w:val="1"/>
          <w:bCs w:val="1"/>
          <w:color w:val="auto"/>
        </w:rPr>
        <w:t xml:space="preserve">Eligibility to Vote: </w:t>
      </w:r>
      <w:r>
        <w:rPr>
          <w:rFonts w:ascii="Arial" w:cs="Arial" w:eastAsia="Arial" w:hAnsi="Arial"/>
          <w:sz w:val="16"/>
          <w:szCs w:val="16"/>
          <w:color w:val="auto"/>
        </w:rPr>
        <w:t>You can vote if you were a stockholder of record at the close of business on April 7, 2026 by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set forth in this proxy statement.</w:t>
      </w:r>
    </w:p>
    <w:p>
      <w:pPr>
        <w:sectPr>
          <w:pgSz w:w="11900" w:h="16838" w:orient="portrait"/>
          <w:cols w:equalWidth="0" w:num="1">
            <w:col w:w="9960"/>
          </w:cols>
          <w:pgMar w:left="580" w:top="97" w:right="1359" w:bottom="1440" w:gutter="0" w:footer="0" w:header="0"/>
        </w:sectPr>
      </w:pP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 of Proposals</w:t>
      </w:r>
    </w:p>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372"/>
        </w:trPr>
        <w:tc>
          <w:tcPr>
            <w:tcW w:w="5620" w:type="dxa"/>
            <w:vAlign w:val="bottom"/>
          </w:tcPr>
          <w:p>
            <w:pPr>
              <w:spacing w:after="0"/>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Proposal</w:t>
            </w:r>
          </w:p>
        </w:tc>
        <w:tc>
          <w:tcPr>
            <w:tcW w:w="2660" w:type="dxa"/>
            <w:vAlign w:val="bottom"/>
          </w:tcPr>
          <w:p>
            <w:pPr>
              <w:ind w:left="320"/>
              <w:spacing w:after="0"/>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5"/>
                <w:szCs w:val="15"/>
                <w:b w:val="1"/>
                <w:bCs w:val="1"/>
                <w:color w:val="auto"/>
              </w:rPr>
              <w:t xml:space="preserve"> Board Vote Recommendation</w:t>
            </w:r>
          </w:p>
        </w:tc>
      </w:tr>
      <w:tr>
        <w:trPr>
          <w:trHeight w:val="243"/>
        </w:trPr>
        <w:tc>
          <w:tcPr>
            <w:tcW w:w="5620" w:type="dxa"/>
            <w:vAlign w:val="bottom"/>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One: Election of Directors</w:t>
            </w:r>
          </w:p>
        </w:tc>
        <w:tc>
          <w:tcPr>
            <w:tcW w:w="2660" w:type="dxa"/>
            <w:vAlign w:val="bottom"/>
          </w:tcPr>
          <w:p>
            <w:pPr>
              <w:ind w:left="3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FOR each Director Nominee</w:t>
            </w:r>
          </w:p>
        </w:tc>
      </w:tr>
      <w:tr>
        <w:trPr>
          <w:trHeight w:val="243"/>
        </w:trPr>
        <w:tc>
          <w:tcPr>
            <w:tcW w:w="5620" w:type="dxa"/>
            <w:vAlign w:val="bottom"/>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Two: Ratification of Auditors</w:t>
            </w:r>
          </w:p>
        </w:tc>
        <w:tc>
          <w:tcPr>
            <w:tcW w:w="2660" w:type="dxa"/>
            <w:vAlign w:val="bottom"/>
          </w:tcPr>
          <w:p>
            <w:pPr>
              <w:ind w:left="3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FOR</w:t>
            </w:r>
          </w:p>
        </w:tc>
      </w:tr>
      <w:tr>
        <w:trPr>
          <w:trHeight w:val="270"/>
        </w:trPr>
        <w:tc>
          <w:tcPr>
            <w:tcW w:w="5620" w:type="dxa"/>
            <w:vAlign w:val="bottom"/>
          </w:tcPr>
          <w:p>
            <w:pPr>
              <w:spacing w:after="0" w:line="269"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 xml:space="preserve"> Three: Advisory Vote on Executive Compensation</w:t>
            </w:r>
          </w:p>
        </w:tc>
        <w:tc>
          <w:tcPr>
            <w:tcW w:w="2660" w:type="dxa"/>
            <w:vAlign w:val="bottom"/>
          </w:tcPr>
          <w:p>
            <w:pPr>
              <w:ind w:left="320"/>
              <w:spacing w:after="0" w:line="269"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color w:val="auto"/>
              </w:rPr>
              <w:t xml:space="preserve"> FOR</w:t>
            </w:r>
          </w:p>
        </w:tc>
      </w:tr>
      <w:tr>
        <w:trPr>
          <w:trHeight w:val="216"/>
        </w:trPr>
        <w:tc>
          <w:tcPr>
            <w:tcW w:w="5620" w:type="dxa"/>
            <w:vAlign w:val="bottom"/>
          </w:tcPr>
          <w:p>
            <w:pPr>
              <w:spacing w:after="0"/>
              <w:rPr>
                <w:sz w:val="20"/>
                <w:szCs w:val="20"/>
                <w:color w:val="auto"/>
              </w:rPr>
            </w:pPr>
            <w:r>
              <w:rPr>
                <w:rFonts w:ascii="Arial" w:cs="Arial" w:eastAsia="Arial" w:hAnsi="Arial"/>
                <w:sz w:val="15"/>
                <w:szCs w:val="15"/>
                <w:color w:val="auto"/>
              </w:rPr>
              <w:t>​ Four: Advisory Vote on the Frequency of Future Advisory Votes on Executive</w:t>
            </w:r>
          </w:p>
        </w:tc>
        <w:tc>
          <w:tcPr>
            <w:tcW w:w="2660" w:type="dxa"/>
            <w:vAlign w:val="bottom"/>
          </w:tcPr>
          <w:p>
            <w:pPr>
              <w:ind w:left="320"/>
              <w:spacing w:after="0"/>
              <w:rPr>
                <w:sz w:val="20"/>
                <w:szCs w:val="20"/>
                <w:color w:val="auto"/>
              </w:rPr>
            </w:pPr>
            <w:r>
              <w:rPr>
                <w:rFonts w:ascii="Arial" w:cs="Arial" w:eastAsia="Arial" w:hAnsi="Arial"/>
                <w:sz w:val="15"/>
                <w:szCs w:val="15"/>
                <w:color w:val="auto"/>
              </w:rPr>
              <w:t>​ ​ ONE YEAR</w:t>
            </w:r>
          </w:p>
        </w:tc>
      </w:tr>
      <w:tr>
        <w:trPr>
          <w:trHeight w:val="200"/>
        </w:trPr>
        <w:tc>
          <w:tcPr>
            <w:tcW w:w="562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2660" w:type="dxa"/>
            <w:vAlign w:val="bottom"/>
          </w:tcPr>
          <w:p>
            <w:pPr>
              <w:spacing w:after="0"/>
              <w:rPr>
                <w:sz w:val="17"/>
                <w:szCs w:val="17"/>
                <w:color w:val="auto"/>
              </w:rPr>
            </w:pPr>
          </w:p>
        </w:tc>
      </w:tr>
      <w:tr>
        <w:trPr>
          <w:trHeight w:val="410"/>
        </w:trPr>
        <w:tc>
          <w:tcPr>
            <w:tcW w:w="5620" w:type="dxa"/>
            <w:vAlign w:val="bottom"/>
          </w:tcPr>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 xml:space="preserve"> Five: Approval of the Upbound Group, Inc. 2026 Long-Term Incentive Plan</w:t>
            </w:r>
          </w:p>
        </w:tc>
        <w:tc>
          <w:tcPr>
            <w:tcW w:w="2660" w:type="dxa"/>
            <w:vAlign w:val="bottom"/>
          </w:tcPr>
          <w:p>
            <w:pPr>
              <w:ind w:left="320"/>
              <w:spacing w:after="0"/>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color w:val="auto"/>
              </w:rPr>
              <w:t xml:space="preserve"> 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-676275</wp:posOffset>
            </wp:positionV>
            <wp:extent cx="583755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-238760</wp:posOffset>
            </wp:positionV>
            <wp:extent cx="583755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-993140</wp:posOffset>
            </wp:positionV>
            <wp:extent cx="583755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755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35" w:lineRule="exact"/>
        <w:rPr>
          <w:sz w:val="20"/>
          <w:szCs w:val="20"/>
          <w:color w:val="auto"/>
        </w:rPr>
      </w:pPr>
    </w:p>
    <w:p>
      <w:pPr>
        <w:sectPr>
          <w:pgSz w:w="11900" w:h="16838" w:orient="portrait"/>
          <w:cols w:equalWidth="0" w:num="2">
            <w:col w:w="9120" w:space="720"/>
            <w:col w:w="12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540"/>
        <w:spacing w:after="0"/>
        <w:tabs>
          <w:tab w:leader="none" w:pos="982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rFonts w:ascii="Arial" w:cs="Arial" w:eastAsia="Arial" w:hAnsi="Arial"/>
          <w:sz w:val="14"/>
          <w:szCs w:val="14"/>
          <w:b w:val="1"/>
          <w:bCs w:val="1"/>
          <w:color w:val="auto"/>
        </w:rPr>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Board Information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Nominees</w:t>
      </w:r>
    </w:p>
    <w:p>
      <w:pPr>
        <w:spacing w:after="0" w:line="162"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The following table provides summary information about each director nominee who is nominated for election at the 2026 Annual Meeting. Each director nominee will serve a one-year term expiring at the 2027 annual meeting of stockholders and until such director’s successors are elected and qualified, or until such director’s earlier death, resignation, disqualification or removal. Additional information about each nominee, including the Board’s skills matrix, can be found under “Proposal One: Election of Directors” below.</w:t>
      </w:r>
    </w:p>
    <w:p>
      <w:pPr>
        <w:spacing w:after="0" w:line="103"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As previously disclosed, Mitchell Fadel’s service on the Board ended upon his resignation as director and Chief Executive Officer of the Company on June 1, 2025, which was not due to any disagreement with the Company on any matters relating to the Company’s operations, practices or policies and, accordingly, Mr. Fadel is not one of the director nominees. On June 1, 2025, Fahmi Karam was appointed as a director and the Chief Executive Officer of the Company and, accordingly, Mr. Karam is one of the director nominees.</w:t>
      </w:r>
    </w:p>
    <w:p>
      <w:pPr>
        <w:spacing w:after="0" w:line="179"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ind w:left="280"/>
              <w:spacing w:after="0"/>
              <w:rPr>
                <w:sz w:val="20"/>
                <w:szCs w:val="20"/>
                <w:color w:val="auto"/>
              </w:rPr>
            </w:pPr>
            <w:r>
              <w:rPr>
                <w:rFonts w:ascii="Arial" w:cs="Arial" w:eastAsia="Arial" w:hAnsi="Arial"/>
                <w:sz w:val="15"/>
                <w:szCs w:val="15"/>
                <w:b w:val="1"/>
                <w:bCs w:val="1"/>
                <w:color w:val="auto"/>
              </w:rPr>
              <w:t>Director</w:t>
            </w:r>
          </w:p>
        </w:tc>
        <w:tc>
          <w:tcPr>
            <w:tcW w:w="860" w:type="dxa"/>
            <w:vAlign w:val="bottom"/>
          </w:tcPr>
          <w:p>
            <w:pPr>
              <w:spacing w:after="0"/>
              <w:rPr>
                <w:sz w:val="16"/>
                <w:szCs w:val="16"/>
                <w:color w:val="auto"/>
              </w:rPr>
            </w:pPr>
          </w:p>
        </w:tc>
        <w:tc>
          <w:tcPr>
            <w:tcW w:w="3480" w:type="dxa"/>
            <w:vAlign w:val="bottom"/>
          </w:tcPr>
          <w:p>
            <w:pPr>
              <w:ind w:left="560"/>
              <w:spacing w:after="0"/>
              <w:rPr>
                <w:sz w:val="20"/>
                <w:szCs w:val="20"/>
                <w:color w:val="auto"/>
              </w:rPr>
            </w:pPr>
            <w:r>
              <w:rPr>
                <w:rFonts w:ascii="Arial" w:cs="Arial" w:eastAsia="Arial" w:hAnsi="Arial"/>
                <w:sz w:val="15"/>
                <w:szCs w:val="15"/>
                <w:b w:val="1"/>
                <w:bCs w:val="1"/>
                <w:color w:val="auto"/>
              </w:rPr>
              <w:t>Committee</w:t>
            </w:r>
          </w:p>
        </w:tc>
        <w:tc>
          <w:tcPr>
            <w:tcW w:w="1420" w:type="dxa"/>
            <w:vAlign w:val="bottom"/>
          </w:tcPr>
          <w:p>
            <w:pPr>
              <w:ind w:left="320"/>
              <w:spacing w:after="0"/>
              <w:rPr>
                <w:sz w:val="20"/>
                <w:szCs w:val="20"/>
                <w:color w:val="auto"/>
              </w:rPr>
            </w:pPr>
            <w:r>
              <w:rPr>
                <w:rFonts w:ascii="Arial" w:cs="Arial" w:eastAsia="Arial" w:hAnsi="Arial"/>
                <w:sz w:val="15"/>
                <w:szCs w:val="15"/>
                <w:b w:val="1"/>
                <w:bCs w:val="1"/>
                <w:color w:val="auto"/>
              </w:rPr>
              <w:t>Other Public</w:t>
            </w:r>
          </w:p>
        </w:tc>
        <w:tc>
          <w:tcPr>
            <w:tcW w:w="300" w:type="dxa"/>
            <w:vAlign w:val="bottom"/>
          </w:tcPr>
          <w:p>
            <w:pPr>
              <w:spacing w:after="0"/>
              <w:rPr>
                <w:sz w:val="16"/>
                <w:szCs w:val="16"/>
                <w:color w:val="auto"/>
              </w:rPr>
            </w:pPr>
          </w:p>
        </w:tc>
      </w:tr>
      <w:tr>
        <w:trPr>
          <w:trHeight w:val="222"/>
        </w:trPr>
        <w:tc>
          <w:tcPr>
            <w:tcW w:w="1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Name</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 ​ Age</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 Since</w:t>
            </w:r>
          </w:p>
        </w:tc>
        <w:tc>
          <w:tcPr>
            <w:tcW w:w="4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 ​ Independent​ ​ Memberships</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 ​ Company Boards ​</w:t>
            </w:r>
          </w:p>
        </w:tc>
      </w:tr>
      <w:tr>
        <w:trPr>
          <w:trHeight w:val="193"/>
        </w:trPr>
        <w:tc>
          <w:tcPr>
            <w:tcW w:w="1480" w:type="dxa"/>
            <w:vAlign w:val="bottom"/>
            <w:shd w:val="clear" w:color="auto" w:fill="E5E5E5"/>
          </w:tcPr>
          <w:p>
            <w:pPr>
              <w:spacing w:after="0"/>
              <w:rPr>
                <w:sz w:val="20"/>
                <w:szCs w:val="20"/>
                <w:color w:val="auto"/>
              </w:rPr>
            </w:pPr>
            <w:r>
              <w:rPr>
                <w:rFonts w:ascii="Arial" w:cs="Arial" w:eastAsia="Arial" w:hAnsi="Arial"/>
                <w:sz w:val="15"/>
                <w:szCs w:val="15"/>
                <w:color w:val="auto"/>
              </w:rPr>
              <w:t>​ Jeffrey Brown</w:t>
            </w:r>
          </w:p>
        </w:tc>
        <w:tc>
          <w:tcPr>
            <w:tcW w:w="72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 65</w:t>
            </w:r>
          </w:p>
        </w:tc>
        <w:tc>
          <w:tcPr>
            <w:tcW w:w="940" w:type="dxa"/>
            <w:vAlign w:val="bottom"/>
            <w:shd w:val="clear" w:color="auto" w:fill="E5E5E5"/>
          </w:tcPr>
          <w:p>
            <w:pPr>
              <w:ind w:left="80"/>
              <w:spacing w:after="0"/>
              <w:rPr>
                <w:sz w:val="20"/>
                <w:szCs w:val="20"/>
                <w:color w:val="auto"/>
              </w:rPr>
            </w:pPr>
            <w:r>
              <w:rPr>
                <w:rFonts w:ascii="Arial" w:cs="Arial" w:eastAsia="Arial" w:hAnsi="Arial"/>
                <w:sz w:val="15"/>
                <w:szCs w:val="15"/>
                <w:color w:val="auto"/>
              </w:rPr>
              <w:t>​ ​ 2017</w:t>
            </w:r>
          </w:p>
        </w:tc>
        <w:tc>
          <w:tcPr>
            <w:tcW w:w="860" w:type="dxa"/>
            <w:vAlign w:val="bottom"/>
            <w:shd w:val="clear" w:color="auto" w:fill="E5E5E5"/>
          </w:tcPr>
          <w:p>
            <w:pPr>
              <w:ind w:left="60"/>
              <w:spacing w:after="0"/>
              <w:rPr>
                <w:sz w:val="20"/>
                <w:szCs w:val="20"/>
                <w:color w:val="auto"/>
              </w:rPr>
            </w:pPr>
            <w:r>
              <w:rPr>
                <w:rFonts w:ascii="Arial" w:cs="Arial" w:eastAsia="Arial" w:hAnsi="Arial"/>
                <w:sz w:val="15"/>
                <w:szCs w:val="15"/>
                <w:color w:val="auto"/>
              </w:rPr>
              <w:t>​ ​ Yes</w:t>
            </w:r>
          </w:p>
        </w:tc>
        <w:tc>
          <w:tcPr>
            <w:tcW w:w="3480" w:type="dxa"/>
            <w:vAlign w:val="bottom"/>
            <w:shd w:val="clear" w:color="auto" w:fill="E5E5E5"/>
          </w:tcPr>
          <w:p>
            <w:pPr>
              <w:ind w:left="340"/>
              <w:spacing w:after="0"/>
              <w:rPr>
                <w:sz w:val="20"/>
                <w:szCs w:val="20"/>
                <w:color w:val="auto"/>
              </w:rPr>
            </w:pPr>
            <w:r>
              <w:rPr>
                <w:rFonts w:ascii="Arial" w:cs="Arial" w:eastAsia="Arial" w:hAnsi="Arial"/>
                <w:sz w:val="15"/>
                <w:szCs w:val="15"/>
                <w:color w:val="auto"/>
              </w:rPr>
              <w:t>​ ​ Audit &amp; Risk (chair)</w:t>
            </w:r>
          </w:p>
        </w:tc>
        <w:tc>
          <w:tcPr>
            <w:tcW w:w="1420" w:type="dxa"/>
            <w:vAlign w:val="bottom"/>
            <w:shd w:val="clear" w:color="auto" w:fill="E5E5E5"/>
          </w:tcPr>
          <w:p>
            <w:pPr>
              <w:ind w:left="100"/>
              <w:spacing w:after="0"/>
              <w:rPr>
                <w:sz w:val="20"/>
                <w:szCs w:val="20"/>
                <w:color w:val="auto"/>
              </w:rPr>
            </w:pPr>
            <w:r>
              <w:rPr>
                <w:rFonts w:ascii="Arial" w:cs="Arial" w:eastAsia="Arial" w:hAnsi="Arial"/>
                <w:sz w:val="15"/>
                <w:szCs w:val="15"/>
                <w:color w:val="auto"/>
              </w:rPr>
              <w:t>​ ​ Medifast, Inc.</w:t>
            </w:r>
          </w:p>
        </w:tc>
        <w:tc>
          <w:tcPr>
            <w:tcW w:w="300" w:type="dxa"/>
            <w:vAlign w:val="bottom"/>
            <w:shd w:val="clear" w:color="auto" w:fill="E5E5E5"/>
          </w:tcPr>
          <w:p>
            <w:pPr>
              <w:ind w:left="180"/>
              <w:spacing w:after="0"/>
              <w:rPr>
                <w:sz w:val="20"/>
                <w:szCs w:val="20"/>
                <w:color w:val="auto"/>
              </w:rPr>
            </w:pPr>
            <w:r>
              <w:rPr>
                <w:rFonts w:ascii="Arial" w:cs="Arial" w:eastAsia="Arial" w:hAnsi="Arial"/>
                <w:sz w:val="15"/>
                <w:szCs w:val="15"/>
                <w:color w:val="auto"/>
              </w:rPr>
              <w:t>​</w:t>
            </w:r>
          </w:p>
        </w:tc>
      </w:tr>
      <w:tr>
        <w:trPr>
          <w:trHeight w:val="246"/>
        </w:trPr>
        <w:tc>
          <w:tcPr>
            <w:tcW w:w="1480" w:type="dxa"/>
            <w:vAlign w:val="bottom"/>
            <w:shd w:val="clear" w:color="auto" w:fill="E5E5E5"/>
          </w:tcPr>
          <w:p>
            <w:pPr>
              <w:ind w:left="120"/>
              <w:spacing w:after="0"/>
              <w:rPr>
                <w:sz w:val="20"/>
                <w:szCs w:val="20"/>
                <w:color w:val="auto"/>
              </w:rPr>
            </w:pPr>
            <w:r>
              <w:rPr>
                <w:rFonts w:ascii="Arial" w:cs="Arial" w:eastAsia="Arial" w:hAnsi="Arial"/>
                <w:sz w:val="15"/>
                <w:szCs w:val="15"/>
                <w:color w:val="auto"/>
              </w:rPr>
              <w:t>(Chairman)</w:t>
            </w:r>
          </w:p>
        </w:tc>
        <w:tc>
          <w:tcPr>
            <w:tcW w:w="72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3480" w:type="dxa"/>
            <w:vAlign w:val="bottom"/>
            <w:shd w:val="clear" w:color="auto" w:fill="E5E5E5"/>
          </w:tcPr>
          <w:p>
            <w:pPr>
              <w:spacing w:after="0"/>
              <w:rPr>
                <w:sz w:val="21"/>
                <w:szCs w:val="21"/>
                <w:color w:val="auto"/>
              </w:rPr>
            </w:pPr>
          </w:p>
        </w:tc>
        <w:tc>
          <w:tcPr>
            <w:tcW w:w="1420" w:type="dxa"/>
            <w:vAlign w:val="bottom"/>
            <w:shd w:val="clear" w:color="auto" w:fill="E5E5E5"/>
          </w:tcPr>
          <w:p>
            <w:pPr>
              <w:ind w:left="320"/>
              <w:spacing w:after="0"/>
              <w:rPr>
                <w:sz w:val="20"/>
                <w:szCs w:val="20"/>
                <w:color w:val="auto"/>
              </w:rPr>
            </w:pPr>
            <w:r>
              <w:rPr>
                <w:rFonts w:ascii="Arial" w:cs="Arial" w:eastAsia="Arial" w:hAnsi="Arial"/>
                <w:sz w:val="15"/>
                <w:szCs w:val="15"/>
                <w:color w:val="auto"/>
              </w:rPr>
              <w:t>(“Medifast”)</w:t>
            </w:r>
            <w:r>
              <w:rPr>
                <w:rFonts w:ascii="Arial" w:cs="Arial" w:eastAsia="Arial" w:hAnsi="Arial"/>
                <w:sz w:val="19"/>
                <w:szCs w:val="19"/>
                <w:color w:val="auto"/>
                <w:vertAlign w:val="superscript"/>
              </w:rPr>
              <w:t>(1)</w:t>
            </w:r>
          </w:p>
        </w:tc>
        <w:tc>
          <w:tcPr>
            <w:tcW w:w="300" w:type="dxa"/>
            <w:vAlign w:val="bottom"/>
            <w:shd w:val="clear" w:color="auto" w:fill="E5E5E5"/>
          </w:tcPr>
          <w:p>
            <w:pPr>
              <w:spacing w:after="0"/>
              <w:rPr>
                <w:sz w:val="21"/>
                <w:szCs w:val="21"/>
                <w:color w:val="auto"/>
              </w:rPr>
            </w:pPr>
          </w:p>
        </w:tc>
      </w:tr>
      <w:tr>
        <w:trPr>
          <w:trHeight w:val="212"/>
        </w:trPr>
        <w:tc>
          <w:tcPr>
            <w:tcW w:w="1480" w:type="dxa"/>
            <w:vAlign w:val="bottom"/>
          </w:tcPr>
          <w:p>
            <w:pPr>
              <w:spacing w:after="0"/>
              <w:rPr>
                <w:sz w:val="20"/>
                <w:szCs w:val="20"/>
                <w:color w:val="auto"/>
              </w:rPr>
            </w:pPr>
            <w:r>
              <w:rPr>
                <w:rFonts w:ascii="Arial" w:cs="Arial" w:eastAsia="Arial" w:hAnsi="Arial"/>
                <w:sz w:val="15"/>
                <w:szCs w:val="15"/>
                <w:color w:val="auto"/>
              </w:rPr>
              <w:t>​ Charu Jain</w:t>
            </w:r>
          </w:p>
        </w:tc>
        <w:tc>
          <w:tcPr>
            <w:tcW w:w="720" w:type="dxa"/>
            <w:vAlign w:val="bottom"/>
          </w:tcPr>
          <w:p>
            <w:pPr>
              <w:ind w:left="140"/>
              <w:spacing w:after="0"/>
              <w:rPr>
                <w:sz w:val="20"/>
                <w:szCs w:val="20"/>
                <w:color w:val="auto"/>
              </w:rPr>
            </w:pPr>
            <w:r>
              <w:rPr>
                <w:rFonts w:ascii="Arial" w:cs="Arial" w:eastAsia="Arial" w:hAnsi="Arial"/>
                <w:sz w:val="15"/>
                <w:szCs w:val="15"/>
                <w:color w:val="auto"/>
              </w:rPr>
              <w:t>​ ​ 62</w:t>
            </w:r>
          </w:p>
        </w:tc>
        <w:tc>
          <w:tcPr>
            <w:tcW w:w="940" w:type="dxa"/>
            <w:vAlign w:val="bottom"/>
          </w:tcPr>
          <w:p>
            <w:pPr>
              <w:ind w:left="80"/>
              <w:spacing w:after="0"/>
              <w:rPr>
                <w:sz w:val="20"/>
                <w:szCs w:val="20"/>
                <w:color w:val="auto"/>
              </w:rPr>
            </w:pPr>
            <w:r>
              <w:rPr>
                <w:rFonts w:ascii="Arial" w:cs="Arial" w:eastAsia="Arial" w:hAnsi="Arial"/>
                <w:sz w:val="15"/>
                <w:szCs w:val="15"/>
                <w:color w:val="auto"/>
              </w:rPr>
              <w:t>​ ​ 2024</w:t>
            </w:r>
          </w:p>
        </w:tc>
        <w:tc>
          <w:tcPr>
            <w:tcW w:w="860" w:type="dxa"/>
            <w:vAlign w:val="bottom"/>
          </w:tcPr>
          <w:p>
            <w:pPr>
              <w:ind w:left="60"/>
              <w:spacing w:after="0"/>
              <w:rPr>
                <w:sz w:val="20"/>
                <w:szCs w:val="20"/>
                <w:color w:val="auto"/>
              </w:rPr>
            </w:pPr>
            <w:r>
              <w:rPr>
                <w:rFonts w:ascii="Arial" w:cs="Arial" w:eastAsia="Arial" w:hAnsi="Arial"/>
                <w:sz w:val="15"/>
                <w:szCs w:val="15"/>
                <w:color w:val="auto"/>
              </w:rPr>
              <w:t>​ ​ Yes</w:t>
            </w:r>
          </w:p>
        </w:tc>
        <w:tc>
          <w:tcPr>
            <w:tcW w:w="3480" w:type="dxa"/>
            <w:vAlign w:val="bottom"/>
          </w:tcPr>
          <w:p>
            <w:pPr>
              <w:ind w:left="340"/>
              <w:spacing w:after="0"/>
              <w:rPr>
                <w:sz w:val="20"/>
                <w:szCs w:val="20"/>
                <w:color w:val="auto"/>
              </w:rPr>
            </w:pPr>
            <w:r>
              <w:rPr>
                <w:rFonts w:ascii="Arial" w:cs="Arial" w:eastAsia="Arial" w:hAnsi="Arial"/>
                <w:sz w:val="15"/>
                <w:szCs w:val="15"/>
                <w:color w:val="auto"/>
              </w:rPr>
              <w:t>​ ​ Cybersecurity, Technology</w:t>
            </w:r>
          </w:p>
        </w:tc>
        <w:tc>
          <w:tcPr>
            <w:tcW w:w="1420" w:type="dxa"/>
            <w:vAlign w:val="bottom"/>
          </w:tcPr>
          <w:p>
            <w:pPr>
              <w:ind w:left="100"/>
              <w:spacing w:after="0"/>
              <w:rPr>
                <w:sz w:val="20"/>
                <w:szCs w:val="20"/>
                <w:color w:val="auto"/>
              </w:rPr>
            </w:pPr>
            <w:r>
              <w:rPr>
                <w:rFonts w:ascii="Arial" w:cs="Arial" w:eastAsia="Arial" w:hAnsi="Arial"/>
                <w:sz w:val="15"/>
                <w:szCs w:val="15"/>
                <w:color w:val="auto"/>
              </w:rPr>
              <w:t>​ ​ —</w:t>
            </w:r>
          </w:p>
        </w:tc>
        <w:tc>
          <w:tcPr>
            <w:tcW w:w="30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80" w:type="dxa"/>
            <w:vAlign w:val="bottom"/>
          </w:tcPr>
          <w:p>
            <w:pPr>
              <w:ind w:left="560"/>
              <w:spacing w:after="0"/>
              <w:rPr>
                <w:sz w:val="20"/>
                <w:szCs w:val="20"/>
                <w:color w:val="auto"/>
              </w:rPr>
            </w:pPr>
            <w:r>
              <w:rPr>
                <w:rFonts w:ascii="Arial" w:cs="Arial" w:eastAsia="Arial" w:hAnsi="Arial"/>
                <w:sz w:val="15"/>
                <w:szCs w:val="15"/>
                <w:color w:val="auto"/>
              </w:rPr>
              <w:t>and Innovation (chair)</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3"/>
        </w:trPr>
        <w:tc>
          <w:tcPr>
            <w:tcW w:w="1480" w:type="dxa"/>
            <w:vAlign w:val="bottom"/>
            <w:shd w:val="clear" w:color="auto" w:fill="E5E5E5"/>
          </w:tcPr>
          <w:p>
            <w:pPr>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Fahmi Karam</w:t>
            </w:r>
          </w:p>
        </w:tc>
        <w:tc>
          <w:tcPr>
            <w:tcW w:w="720" w:type="dxa"/>
            <w:vAlign w:val="bottom"/>
            <w:shd w:val="clear" w:color="auto" w:fill="E5E5E5"/>
          </w:tcPr>
          <w:p>
            <w:pPr>
              <w:ind w:left="140"/>
              <w:spacing w:after="0" w:line="232"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47</w:t>
            </w:r>
          </w:p>
        </w:tc>
        <w:tc>
          <w:tcPr>
            <w:tcW w:w="940" w:type="dxa"/>
            <w:vAlign w:val="bottom"/>
            <w:shd w:val="clear" w:color="auto" w:fill="E5E5E5"/>
          </w:tcPr>
          <w:p>
            <w:pPr>
              <w:ind w:left="80"/>
              <w:spacing w:after="0" w:line="232"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2025</w:t>
            </w:r>
          </w:p>
        </w:tc>
        <w:tc>
          <w:tcPr>
            <w:tcW w:w="860" w:type="dxa"/>
            <w:vAlign w:val="bottom"/>
            <w:shd w:val="clear" w:color="auto" w:fill="E5E5E5"/>
          </w:tcPr>
          <w:p>
            <w:pPr>
              <w:ind w:left="60"/>
              <w:spacing w:after="0" w:line="232"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No</w:t>
            </w:r>
          </w:p>
        </w:tc>
        <w:tc>
          <w:tcPr>
            <w:tcW w:w="3480" w:type="dxa"/>
            <w:vAlign w:val="bottom"/>
            <w:shd w:val="clear" w:color="auto" w:fill="E5E5E5"/>
          </w:tcPr>
          <w:p>
            <w:pPr>
              <w:ind w:left="340"/>
              <w:spacing w:after="0" w:line="232"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6"/>
                <w:szCs w:val="26"/>
                <w:color w:val="auto"/>
                <w:vertAlign w:val="subscript"/>
              </w:rPr>
              <w:t>—</w:t>
            </w:r>
          </w:p>
        </w:tc>
        <w:tc>
          <w:tcPr>
            <w:tcW w:w="1420" w:type="dxa"/>
            <w:vAlign w:val="bottom"/>
            <w:shd w:val="clear" w:color="auto" w:fill="E5E5E5"/>
          </w:tcPr>
          <w:p>
            <w:pPr>
              <w:ind w:left="100"/>
              <w:spacing w:after="0" w:line="232"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6"/>
                <w:szCs w:val="26"/>
                <w:color w:val="auto"/>
                <w:vertAlign w:val="subscript"/>
              </w:rPr>
              <w:t>—</w:t>
            </w:r>
          </w:p>
        </w:tc>
        <w:tc>
          <w:tcPr>
            <w:tcW w:w="300" w:type="dxa"/>
            <w:vAlign w:val="bottom"/>
            <w:shd w:val="clear" w:color="auto" w:fill="E5E5E5"/>
          </w:tcPr>
          <w:p>
            <w:pPr>
              <w:ind w:left="180"/>
              <w:spacing w:after="0"/>
              <w:rPr>
                <w:sz w:val="20"/>
                <w:szCs w:val="20"/>
                <w:color w:val="auto"/>
              </w:rPr>
            </w:pPr>
            <w:r>
              <w:rPr>
                <w:rFonts w:ascii="Arial" w:cs="Arial" w:eastAsia="Arial" w:hAnsi="Arial"/>
                <w:sz w:val="15"/>
                <w:szCs w:val="15"/>
                <w:color w:val="auto"/>
              </w:rPr>
              <w:t>​</w:t>
            </w:r>
          </w:p>
        </w:tc>
      </w:tr>
      <w:tr>
        <w:trPr>
          <w:trHeight w:val="223"/>
        </w:trPr>
        <w:tc>
          <w:tcPr>
            <w:tcW w:w="1480" w:type="dxa"/>
            <w:vAlign w:val="bottom"/>
          </w:tcPr>
          <w:p>
            <w:pPr>
              <w:spacing w:after="0"/>
              <w:rPr>
                <w:sz w:val="20"/>
                <w:szCs w:val="20"/>
                <w:color w:val="auto"/>
              </w:rPr>
            </w:pPr>
            <w:r>
              <w:rPr>
                <w:rFonts w:ascii="Arial" w:cs="Arial" w:eastAsia="Arial" w:hAnsi="Arial"/>
                <w:sz w:val="15"/>
                <w:szCs w:val="15"/>
                <w:color w:val="auto"/>
              </w:rPr>
              <w:t>​ Molly Langenstein</w:t>
            </w:r>
          </w:p>
        </w:tc>
        <w:tc>
          <w:tcPr>
            <w:tcW w:w="720" w:type="dxa"/>
            <w:vAlign w:val="bottom"/>
          </w:tcPr>
          <w:p>
            <w:pPr>
              <w:ind w:left="140"/>
              <w:spacing w:after="0"/>
              <w:rPr>
                <w:sz w:val="20"/>
                <w:szCs w:val="20"/>
                <w:color w:val="auto"/>
              </w:rPr>
            </w:pPr>
            <w:r>
              <w:rPr>
                <w:rFonts w:ascii="Arial" w:cs="Arial" w:eastAsia="Arial" w:hAnsi="Arial"/>
                <w:sz w:val="15"/>
                <w:szCs w:val="15"/>
                <w:color w:val="auto"/>
              </w:rPr>
              <w:t>​ ​ 62</w:t>
            </w:r>
          </w:p>
        </w:tc>
        <w:tc>
          <w:tcPr>
            <w:tcW w:w="940" w:type="dxa"/>
            <w:vAlign w:val="bottom"/>
          </w:tcPr>
          <w:p>
            <w:pPr>
              <w:ind w:left="80"/>
              <w:spacing w:after="0"/>
              <w:rPr>
                <w:sz w:val="20"/>
                <w:szCs w:val="20"/>
                <w:color w:val="auto"/>
              </w:rPr>
            </w:pPr>
            <w:r>
              <w:rPr>
                <w:rFonts w:ascii="Arial" w:cs="Arial" w:eastAsia="Arial" w:hAnsi="Arial"/>
                <w:sz w:val="15"/>
                <w:szCs w:val="15"/>
                <w:color w:val="auto"/>
              </w:rPr>
              <w:t>​ ​ 2024</w:t>
            </w:r>
          </w:p>
        </w:tc>
        <w:tc>
          <w:tcPr>
            <w:tcW w:w="860" w:type="dxa"/>
            <w:vAlign w:val="bottom"/>
          </w:tcPr>
          <w:p>
            <w:pPr>
              <w:ind w:left="60"/>
              <w:spacing w:after="0"/>
              <w:rPr>
                <w:sz w:val="20"/>
                <w:szCs w:val="20"/>
                <w:color w:val="auto"/>
              </w:rPr>
            </w:pPr>
            <w:r>
              <w:rPr>
                <w:rFonts w:ascii="Arial" w:cs="Arial" w:eastAsia="Arial" w:hAnsi="Arial"/>
                <w:sz w:val="15"/>
                <w:szCs w:val="15"/>
                <w:color w:val="auto"/>
              </w:rPr>
              <w:t>​ ​ Yes</w:t>
            </w:r>
          </w:p>
        </w:tc>
        <w:tc>
          <w:tcPr>
            <w:tcW w:w="3480" w:type="dxa"/>
            <w:vAlign w:val="bottom"/>
          </w:tcPr>
          <w:p>
            <w:pPr>
              <w:ind w:left="340"/>
              <w:spacing w:after="0"/>
              <w:rPr>
                <w:sz w:val="20"/>
                <w:szCs w:val="20"/>
                <w:color w:val="auto"/>
              </w:rPr>
            </w:pPr>
            <w:r>
              <w:rPr>
                <w:rFonts w:ascii="Arial" w:cs="Arial" w:eastAsia="Arial" w:hAnsi="Arial"/>
                <w:sz w:val="15"/>
                <w:szCs w:val="15"/>
                <w:color w:val="auto"/>
              </w:rPr>
              <w:t>​ ​ Compensation</w:t>
            </w:r>
          </w:p>
        </w:tc>
        <w:tc>
          <w:tcPr>
            <w:tcW w:w="1420" w:type="dxa"/>
            <w:vAlign w:val="bottom"/>
          </w:tcPr>
          <w:p>
            <w:pPr>
              <w:ind w:left="100"/>
              <w:spacing w:after="0"/>
              <w:rPr>
                <w:sz w:val="20"/>
                <w:szCs w:val="20"/>
                <w:color w:val="auto"/>
              </w:rPr>
            </w:pPr>
            <w:r>
              <w:rPr>
                <w:rFonts w:ascii="Arial" w:cs="Arial" w:eastAsia="Arial" w:hAnsi="Arial"/>
                <w:sz w:val="15"/>
                <w:szCs w:val="15"/>
                <w:color w:val="auto"/>
              </w:rPr>
              <w:t>​ ​ Caleres, Inc.</w:t>
            </w:r>
          </w:p>
        </w:tc>
        <w:tc>
          <w:tcPr>
            <w:tcW w:w="30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97"/>
        </w:trPr>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ind w:left="560"/>
              <w:spacing w:after="0"/>
              <w:rPr>
                <w:sz w:val="20"/>
                <w:szCs w:val="20"/>
                <w:color w:val="auto"/>
              </w:rPr>
            </w:pPr>
            <w:r>
              <w:rPr>
                <w:rFonts w:ascii="Arial" w:cs="Arial" w:eastAsia="Arial" w:hAnsi="Arial"/>
                <w:sz w:val="15"/>
                <w:szCs w:val="15"/>
                <w:color w:val="auto"/>
              </w:rPr>
              <w:t>Cybersecurity, Technology and Innovation</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ind w:left="560"/>
              <w:spacing w:after="0"/>
              <w:rPr>
                <w:sz w:val="20"/>
                <w:szCs w:val="20"/>
                <w:color w:val="auto"/>
              </w:rPr>
            </w:pPr>
            <w:r>
              <w:rPr>
                <w:rFonts w:ascii="Arial" w:cs="Arial" w:eastAsia="Arial" w:hAnsi="Arial"/>
                <w:sz w:val="15"/>
                <w:szCs w:val="15"/>
                <w:color w:val="auto"/>
              </w:rPr>
              <w:t>Nominating and Corporate Governance</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7"/>
        </w:trPr>
        <w:tc>
          <w:tcPr>
            <w:tcW w:w="1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23"/>
        </w:trPr>
        <w:tc>
          <w:tcPr>
            <w:tcW w:w="1480" w:type="dxa"/>
            <w:vAlign w:val="bottom"/>
            <w:shd w:val="clear" w:color="auto" w:fill="E5E5E5"/>
          </w:tcPr>
          <w:p>
            <w:pPr>
              <w:spacing w:after="0"/>
              <w:rPr>
                <w:sz w:val="20"/>
                <w:szCs w:val="20"/>
                <w:color w:val="auto"/>
              </w:rPr>
            </w:pPr>
            <w:r>
              <w:rPr>
                <w:rFonts w:ascii="Arial" w:cs="Arial" w:eastAsia="Arial" w:hAnsi="Arial"/>
                <w:sz w:val="15"/>
                <w:szCs w:val="15"/>
                <w:color w:val="auto"/>
              </w:rPr>
              <w:t>​ Harold Lewis</w:t>
            </w:r>
          </w:p>
        </w:tc>
        <w:tc>
          <w:tcPr>
            <w:tcW w:w="72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 65</w:t>
            </w:r>
          </w:p>
        </w:tc>
        <w:tc>
          <w:tcPr>
            <w:tcW w:w="940" w:type="dxa"/>
            <w:vAlign w:val="bottom"/>
            <w:shd w:val="clear" w:color="auto" w:fill="E5E5E5"/>
          </w:tcPr>
          <w:p>
            <w:pPr>
              <w:ind w:left="80"/>
              <w:spacing w:after="0"/>
              <w:rPr>
                <w:sz w:val="20"/>
                <w:szCs w:val="20"/>
                <w:color w:val="auto"/>
              </w:rPr>
            </w:pPr>
            <w:r>
              <w:rPr>
                <w:rFonts w:ascii="Arial" w:cs="Arial" w:eastAsia="Arial" w:hAnsi="Arial"/>
                <w:sz w:val="15"/>
                <w:szCs w:val="15"/>
                <w:color w:val="auto"/>
              </w:rPr>
              <w:t>​ ​ 2019</w:t>
            </w:r>
          </w:p>
        </w:tc>
        <w:tc>
          <w:tcPr>
            <w:tcW w:w="860" w:type="dxa"/>
            <w:vAlign w:val="bottom"/>
            <w:shd w:val="clear" w:color="auto" w:fill="E5E5E5"/>
          </w:tcPr>
          <w:p>
            <w:pPr>
              <w:ind w:left="60"/>
              <w:spacing w:after="0"/>
              <w:rPr>
                <w:sz w:val="20"/>
                <w:szCs w:val="20"/>
                <w:color w:val="auto"/>
              </w:rPr>
            </w:pPr>
            <w:r>
              <w:rPr>
                <w:rFonts w:ascii="Arial" w:cs="Arial" w:eastAsia="Arial" w:hAnsi="Arial"/>
                <w:sz w:val="15"/>
                <w:szCs w:val="15"/>
                <w:color w:val="auto"/>
              </w:rPr>
              <w:t>​ ​ Yes</w:t>
            </w:r>
          </w:p>
        </w:tc>
        <w:tc>
          <w:tcPr>
            <w:tcW w:w="3480" w:type="dxa"/>
            <w:vAlign w:val="bottom"/>
            <w:shd w:val="clear" w:color="auto" w:fill="E5E5E5"/>
          </w:tcPr>
          <w:p>
            <w:pPr>
              <w:ind w:left="340"/>
              <w:spacing w:after="0"/>
              <w:rPr>
                <w:sz w:val="20"/>
                <w:szCs w:val="20"/>
                <w:color w:val="auto"/>
              </w:rPr>
            </w:pPr>
            <w:r>
              <w:rPr>
                <w:rFonts w:ascii="Arial" w:cs="Arial" w:eastAsia="Arial" w:hAnsi="Arial"/>
                <w:sz w:val="15"/>
                <w:szCs w:val="15"/>
                <w:color w:val="auto"/>
              </w:rPr>
              <w:t>​ ​ Audit &amp; Risk</w:t>
            </w:r>
          </w:p>
        </w:tc>
        <w:tc>
          <w:tcPr>
            <w:tcW w:w="1420" w:type="dxa"/>
            <w:vAlign w:val="bottom"/>
            <w:shd w:val="clear" w:color="auto" w:fill="E5E5E5"/>
          </w:tcPr>
          <w:p>
            <w:pPr>
              <w:ind w:left="100"/>
              <w:spacing w:after="0"/>
              <w:rPr>
                <w:sz w:val="20"/>
                <w:szCs w:val="20"/>
                <w:color w:val="auto"/>
              </w:rPr>
            </w:pPr>
            <w:r>
              <w:rPr>
                <w:rFonts w:ascii="Arial" w:cs="Arial" w:eastAsia="Arial" w:hAnsi="Arial"/>
                <w:sz w:val="15"/>
                <w:szCs w:val="15"/>
                <w:color w:val="auto"/>
              </w:rPr>
              <w:t>​ ​ —</w:t>
            </w:r>
          </w:p>
        </w:tc>
        <w:tc>
          <w:tcPr>
            <w:tcW w:w="300" w:type="dxa"/>
            <w:vAlign w:val="bottom"/>
            <w:shd w:val="clear" w:color="auto" w:fill="E5E5E5"/>
          </w:tcPr>
          <w:p>
            <w:pPr>
              <w:ind w:left="180"/>
              <w:spacing w:after="0"/>
              <w:rPr>
                <w:sz w:val="20"/>
                <w:szCs w:val="20"/>
                <w:color w:val="auto"/>
              </w:rPr>
            </w:pPr>
            <w:r>
              <w:rPr>
                <w:rFonts w:ascii="Arial" w:cs="Arial" w:eastAsia="Arial" w:hAnsi="Arial"/>
                <w:sz w:val="15"/>
                <w:szCs w:val="15"/>
                <w:color w:val="auto"/>
              </w:rPr>
              <w:t>​</w:t>
            </w:r>
          </w:p>
        </w:tc>
      </w:tr>
      <w:tr>
        <w:trPr>
          <w:trHeight w:val="323"/>
        </w:trPr>
        <w:tc>
          <w:tcPr>
            <w:tcW w:w="148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spacing w:after="0"/>
              <w:rPr>
                <w:sz w:val="24"/>
                <w:szCs w:val="24"/>
                <w:color w:val="auto"/>
              </w:rPr>
            </w:pPr>
          </w:p>
        </w:tc>
        <w:tc>
          <w:tcPr>
            <w:tcW w:w="940" w:type="dxa"/>
            <w:vAlign w:val="bottom"/>
            <w:tcBorders>
              <w:bottom w:val="single" w:sz="8" w:color="E5E5E5"/>
            </w:tcBorders>
            <w:shd w:val="clear" w:color="auto" w:fill="E5E5E5"/>
          </w:tcPr>
          <w:p>
            <w:pPr>
              <w:spacing w:after="0"/>
              <w:rPr>
                <w:sz w:val="24"/>
                <w:szCs w:val="24"/>
                <w:color w:val="auto"/>
              </w:rPr>
            </w:pPr>
          </w:p>
        </w:tc>
        <w:tc>
          <w:tcPr>
            <w:tcW w:w="860" w:type="dxa"/>
            <w:vAlign w:val="bottom"/>
            <w:tcBorders>
              <w:bottom w:val="single" w:sz="8" w:color="E5E5E5"/>
            </w:tcBorders>
            <w:shd w:val="clear" w:color="auto" w:fill="E5E5E5"/>
          </w:tcPr>
          <w:p>
            <w:pPr>
              <w:spacing w:after="0"/>
              <w:rPr>
                <w:sz w:val="24"/>
                <w:szCs w:val="24"/>
                <w:color w:val="auto"/>
              </w:rPr>
            </w:pPr>
          </w:p>
        </w:tc>
        <w:tc>
          <w:tcPr>
            <w:tcW w:w="348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5"/>
                <w:szCs w:val="15"/>
                <w:color w:val="auto"/>
              </w:rPr>
              <w:t>Compensation</w:t>
            </w:r>
          </w:p>
        </w:tc>
        <w:tc>
          <w:tcPr>
            <w:tcW w:w="1420" w:type="dxa"/>
            <w:vAlign w:val="bottom"/>
            <w:tcBorders>
              <w:bottom w:val="single" w:sz="8" w:color="E5E5E5"/>
            </w:tcBorders>
            <w:shd w:val="clear" w:color="auto" w:fill="E5E5E5"/>
          </w:tcPr>
          <w:p>
            <w:pPr>
              <w:spacing w:after="0"/>
              <w:rPr>
                <w:sz w:val="24"/>
                <w:szCs w:val="24"/>
                <w:color w:val="auto"/>
              </w:rPr>
            </w:pPr>
          </w:p>
        </w:tc>
        <w:tc>
          <w:tcPr>
            <w:tcW w:w="300" w:type="dxa"/>
            <w:vAlign w:val="bottom"/>
            <w:tcBorders>
              <w:bottom w:val="single" w:sz="8" w:color="E5E5E5"/>
            </w:tcBorders>
            <w:shd w:val="clear" w:color="auto" w:fill="E5E5E5"/>
          </w:tcPr>
          <w:p>
            <w:pPr>
              <w:spacing w:after="0"/>
              <w:rPr>
                <w:sz w:val="24"/>
                <w:szCs w:val="24"/>
                <w:color w:val="auto"/>
              </w:rPr>
            </w:pPr>
          </w:p>
        </w:tc>
      </w:tr>
      <w:tr>
        <w:trPr>
          <w:trHeight w:val="224"/>
        </w:trPr>
        <w:tc>
          <w:tcPr>
            <w:tcW w:w="1480" w:type="dxa"/>
            <w:vAlign w:val="bottom"/>
          </w:tcPr>
          <w:p>
            <w:pPr>
              <w:spacing w:after="0"/>
              <w:rPr>
                <w:sz w:val="20"/>
                <w:szCs w:val="20"/>
                <w:color w:val="auto"/>
              </w:rPr>
            </w:pPr>
            <w:r>
              <w:rPr>
                <w:rFonts w:ascii="Arial" w:cs="Arial" w:eastAsia="Arial" w:hAnsi="Arial"/>
                <w:sz w:val="15"/>
                <w:szCs w:val="15"/>
                <w:color w:val="auto"/>
              </w:rPr>
              <w:t>​ Glenn Marino</w:t>
            </w:r>
          </w:p>
        </w:tc>
        <w:tc>
          <w:tcPr>
            <w:tcW w:w="720" w:type="dxa"/>
            <w:vAlign w:val="bottom"/>
          </w:tcPr>
          <w:p>
            <w:pPr>
              <w:ind w:left="140"/>
              <w:spacing w:after="0"/>
              <w:rPr>
                <w:sz w:val="20"/>
                <w:szCs w:val="20"/>
                <w:color w:val="auto"/>
              </w:rPr>
            </w:pPr>
            <w:r>
              <w:rPr>
                <w:rFonts w:ascii="Arial" w:cs="Arial" w:eastAsia="Arial" w:hAnsi="Arial"/>
                <w:sz w:val="15"/>
                <w:szCs w:val="15"/>
                <w:color w:val="auto"/>
              </w:rPr>
              <w:t>​ ​ 69</w:t>
            </w:r>
          </w:p>
        </w:tc>
        <w:tc>
          <w:tcPr>
            <w:tcW w:w="940" w:type="dxa"/>
            <w:vAlign w:val="bottom"/>
          </w:tcPr>
          <w:p>
            <w:pPr>
              <w:ind w:left="80"/>
              <w:spacing w:after="0"/>
              <w:rPr>
                <w:sz w:val="20"/>
                <w:szCs w:val="20"/>
                <w:color w:val="auto"/>
              </w:rPr>
            </w:pPr>
            <w:r>
              <w:rPr>
                <w:rFonts w:ascii="Arial" w:cs="Arial" w:eastAsia="Arial" w:hAnsi="Arial"/>
                <w:sz w:val="15"/>
                <w:szCs w:val="15"/>
                <w:color w:val="auto"/>
              </w:rPr>
              <w:t>​ ​ 2020</w:t>
            </w:r>
          </w:p>
        </w:tc>
        <w:tc>
          <w:tcPr>
            <w:tcW w:w="860" w:type="dxa"/>
            <w:vAlign w:val="bottom"/>
          </w:tcPr>
          <w:p>
            <w:pPr>
              <w:ind w:left="60"/>
              <w:spacing w:after="0"/>
              <w:rPr>
                <w:sz w:val="20"/>
                <w:szCs w:val="20"/>
                <w:color w:val="auto"/>
              </w:rPr>
            </w:pPr>
            <w:r>
              <w:rPr>
                <w:rFonts w:ascii="Arial" w:cs="Arial" w:eastAsia="Arial" w:hAnsi="Arial"/>
                <w:sz w:val="15"/>
                <w:szCs w:val="15"/>
                <w:color w:val="auto"/>
              </w:rPr>
              <w:t>​ ​ Yes</w:t>
            </w:r>
          </w:p>
        </w:tc>
        <w:tc>
          <w:tcPr>
            <w:tcW w:w="3480" w:type="dxa"/>
            <w:vAlign w:val="bottom"/>
          </w:tcPr>
          <w:p>
            <w:pPr>
              <w:ind w:left="340"/>
              <w:spacing w:after="0"/>
              <w:rPr>
                <w:sz w:val="20"/>
                <w:szCs w:val="20"/>
                <w:color w:val="auto"/>
              </w:rPr>
            </w:pPr>
            <w:r>
              <w:rPr>
                <w:rFonts w:ascii="Arial" w:cs="Arial" w:eastAsia="Arial" w:hAnsi="Arial"/>
                <w:sz w:val="15"/>
                <w:szCs w:val="15"/>
                <w:color w:val="auto"/>
              </w:rPr>
              <w:t>​ ​ Compensation (chair)</w:t>
            </w:r>
          </w:p>
        </w:tc>
        <w:tc>
          <w:tcPr>
            <w:tcW w:w="1420" w:type="dxa"/>
            <w:vAlign w:val="bottom"/>
          </w:tcPr>
          <w:p>
            <w:pPr>
              <w:ind w:left="100"/>
              <w:spacing w:after="0"/>
              <w:rPr>
                <w:sz w:val="20"/>
                <w:szCs w:val="20"/>
                <w:color w:val="auto"/>
              </w:rPr>
            </w:pPr>
            <w:r>
              <w:rPr>
                <w:rFonts w:ascii="Arial" w:cs="Arial" w:eastAsia="Arial" w:hAnsi="Arial"/>
                <w:sz w:val="15"/>
                <w:szCs w:val="15"/>
                <w:color w:val="auto"/>
              </w:rPr>
              <w:t>​ ​ —</w:t>
            </w:r>
          </w:p>
        </w:tc>
        <w:tc>
          <w:tcPr>
            <w:tcW w:w="30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97"/>
        </w:trPr>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ind w:left="560"/>
              <w:spacing w:after="0"/>
              <w:rPr>
                <w:sz w:val="20"/>
                <w:szCs w:val="20"/>
                <w:color w:val="auto"/>
              </w:rPr>
            </w:pPr>
            <w:r>
              <w:rPr>
                <w:rFonts w:ascii="Arial" w:cs="Arial" w:eastAsia="Arial" w:hAnsi="Arial"/>
                <w:sz w:val="15"/>
                <w:szCs w:val="15"/>
                <w:color w:val="auto"/>
              </w:rPr>
              <w:t>Cybersecurity, Technology and Innovation</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ind w:left="560"/>
              <w:spacing w:after="0"/>
              <w:rPr>
                <w:sz w:val="20"/>
                <w:szCs w:val="20"/>
                <w:color w:val="auto"/>
              </w:rPr>
            </w:pPr>
            <w:r>
              <w:rPr>
                <w:rFonts w:ascii="Arial" w:cs="Arial" w:eastAsia="Arial" w:hAnsi="Arial"/>
                <w:sz w:val="15"/>
                <w:szCs w:val="15"/>
                <w:color w:val="auto"/>
              </w:rPr>
              <w:t>Nominating and Corporate Governance</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7"/>
        </w:trPr>
        <w:tc>
          <w:tcPr>
            <w:tcW w:w="1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23"/>
        </w:trPr>
        <w:tc>
          <w:tcPr>
            <w:tcW w:w="1480" w:type="dxa"/>
            <w:vAlign w:val="bottom"/>
            <w:shd w:val="clear" w:color="auto" w:fill="E5E5E5"/>
          </w:tcPr>
          <w:p>
            <w:pPr>
              <w:spacing w:after="0"/>
              <w:rPr>
                <w:sz w:val="20"/>
                <w:szCs w:val="20"/>
                <w:color w:val="auto"/>
              </w:rPr>
            </w:pPr>
            <w:r>
              <w:rPr>
                <w:rFonts w:ascii="Arial" w:cs="Arial" w:eastAsia="Arial" w:hAnsi="Arial"/>
                <w:sz w:val="15"/>
                <w:szCs w:val="15"/>
                <w:color w:val="auto"/>
              </w:rPr>
              <w:t>​ Carol McFate</w:t>
            </w:r>
          </w:p>
        </w:tc>
        <w:tc>
          <w:tcPr>
            <w:tcW w:w="72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 73</w:t>
            </w:r>
          </w:p>
        </w:tc>
        <w:tc>
          <w:tcPr>
            <w:tcW w:w="940" w:type="dxa"/>
            <w:vAlign w:val="bottom"/>
            <w:shd w:val="clear" w:color="auto" w:fill="E5E5E5"/>
          </w:tcPr>
          <w:p>
            <w:pPr>
              <w:ind w:left="80"/>
              <w:spacing w:after="0"/>
              <w:rPr>
                <w:sz w:val="20"/>
                <w:szCs w:val="20"/>
                <w:color w:val="auto"/>
              </w:rPr>
            </w:pPr>
            <w:r>
              <w:rPr>
                <w:rFonts w:ascii="Arial" w:cs="Arial" w:eastAsia="Arial" w:hAnsi="Arial"/>
                <w:sz w:val="15"/>
                <w:szCs w:val="15"/>
                <w:color w:val="auto"/>
              </w:rPr>
              <w:t>​ ​ 2019</w:t>
            </w:r>
          </w:p>
        </w:tc>
        <w:tc>
          <w:tcPr>
            <w:tcW w:w="860" w:type="dxa"/>
            <w:vAlign w:val="bottom"/>
            <w:shd w:val="clear" w:color="auto" w:fill="E5E5E5"/>
          </w:tcPr>
          <w:p>
            <w:pPr>
              <w:ind w:left="60"/>
              <w:spacing w:after="0"/>
              <w:rPr>
                <w:sz w:val="20"/>
                <w:szCs w:val="20"/>
                <w:color w:val="auto"/>
              </w:rPr>
            </w:pPr>
            <w:r>
              <w:rPr>
                <w:rFonts w:ascii="Arial" w:cs="Arial" w:eastAsia="Arial" w:hAnsi="Arial"/>
                <w:sz w:val="15"/>
                <w:szCs w:val="15"/>
                <w:color w:val="auto"/>
              </w:rPr>
              <w:t>​ ​ Yes</w:t>
            </w:r>
          </w:p>
        </w:tc>
        <w:tc>
          <w:tcPr>
            <w:tcW w:w="3480" w:type="dxa"/>
            <w:vAlign w:val="bottom"/>
            <w:shd w:val="clear" w:color="auto" w:fill="E5E5E5"/>
          </w:tcPr>
          <w:p>
            <w:pPr>
              <w:ind w:left="340"/>
              <w:spacing w:after="0"/>
              <w:rPr>
                <w:sz w:val="20"/>
                <w:szCs w:val="20"/>
                <w:color w:val="auto"/>
              </w:rPr>
            </w:pPr>
            <w:r>
              <w:rPr>
                <w:rFonts w:ascii="Arial" w:cs="Arial" w:eastAsia="Arial" w:hAnsi="Arial"/>
                <w:sz w:val="15"/>
                <w:szCs w:val="15"/>
                <w:color w:val="auto"/>
              </w:rPr>
              <w:t>​ ​ Audit &amp; Risk</w:t>
            </w:r>
          </w:p>
        </w:tc>
        <w:tc>
          <w:tcPr>
            <w:tcW w:w="1420" w:type="dxa"/>
            <w:vAlign w:val="bottom"/>
            <w:shd w:val="clear" w:color="auto" w:fill="E5E5E5"/>
          </w:tcPr>
          <w:p>
            <w:pPr>
              <w:ind w:left="100"/>
              <w:spacing w:after="0"/>
              <w:rPr>
                <w:sz w:val="20"/>
                <w:szCs w:val="20"/>
                <w:color w:val="auto"/>
              </w:rPr>
            </w:pPr>
            <w:r>
              <w:rPr>
                <w:rFonts w:ascii="Arial" w:cs="Arial" w:eastAsia="Arial" w:hAnsi="Arial"/>
                <w:sz w:val="15"/>
                <w:szCs w:val="15"/>
                <w:color w:val="auto"/>
              </w:rPr>
              <w:t>​ ​ —</w:t>
            </w:r>
          </w:p>
        </w:tc>
        <w:tc>
          <w:tcPr>
            <w:tcW w:w="300" w:type="dxa"/>
            <w:vAlign w:val="bottom"/>
            <w:shd w:val="clear" w:color="auto" w:fill="E5E5E5"/>
          </w:tcPr>
          <w:p>
            <w:pPr>
              <w:ind w:left="180"/>
              <w:spacing w:after="0"/>
              <w:rPr>
                <w:sz w:val="20"/>
                <w:szCs w:val="20"/>
                <w:color w:val="auto"/>
              </w:rPr>
            </w:pPr>
            <w:r>
              <w:rPr>
                <w:rFonts w:ascii="Arial" w:cs="Arial" w:eastAsia="Arial" w:hAnsi="Arial"/>
                <w:sz w:val="15"/>
                <w:szCs w:val="15"/>
                <w:color w:val="auto"/>
              </w:rPr>
              <w:t>​</w:t>
            </w:r>
          </w:p>
        </w:tc>
      </w:tr>
      <w:tr>
        <w:trPr>
          <w:trHeight w:val="286"/>
        </w:trPr>
        <w:tc>
          <w:tcPr>
            <w:tcW w:w="1480" w:type="dxa"/>
            <w:vAlign w:val="bottom"/>
            <w:shd w:val="clear" w:color="auto" w:fill="E5E5E5"/>
          </w:tcPr>
          <w:p>
            <w:pPr>
              <w:spacing w:after="0"/>
              <w:rPr>
                <w:sz w:val="24"/>
                <w:szCs w:val="24"/>
                <w:color w:val="auto"/>
              </w:rPr>
            </w:pPr>
          </w:p>
        </w:tc>
        <w:tc>
          <w:tcPr>
            <w:tcW w:w="720" w:type="dxa"/>
            <w:vAlign w:val="bottom"/>
            <w:shd w:val="clear" w:color="auto" w:fill="E5E5E5"/>
          </w:tcPr>
          <w:p>
            <w:pPr>
              <w:spacing w:after="0"/>
              <w:rPr>
                <w:sz w:val="24"/>
                <w:szCs w:val="24"/>
                <w:color w:val="auto"/>
              </w:rPr>
            </w:pPr>
          </w:p>
        </w:tc>
        <w:tc>
          <w:tcPr>
            <w:tcW w:w="94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3480" w:type="dxa"/>
            <w:vAlign w:val="bottom"/>
            <w:shd w:val="clear" w:color="auto" w:fill="E5E5E5"/>
          </w:tcPr>
          <w:p>
            <w:pPr>
              <w:ind w:left="560"/>
              <w:spacing w:after="0"/>
              <w:rPr>
                <w:sz w:val="20"/>
                <w:szCs w:val="20"/>
                <w:color w:val="auto"/>
              </w:rPr>
            </w:pPr>
            <w:r>
              <w:rPr>
                <w:rFonts w:ascii="Arial" w:cs="Arial" w:eastAsia="Arial" w:hAnsi="Arial"/>
                <w:sz w:val="15"/>
                <w:szCs w:val="15"/>
                <w:color w:val="auto"/>
              </w:rPr>
              <w:t>Nominating and Corporate Governance</w:t>
            </w:r>
          </w:p>
        </w:tc>
        <w:tc>
          <w:tcPr>
            <w:tcW w:w="142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r>
      <w:tr>
        <w:trPr>
          <w:trHeight w:val="213"/>
        </w:trPr>
        <w:tc>
          <w:tcPr>
            <w:tcW w:w="14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348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5"/>
                <w:szCs w:val="15"/>
                <w:color w:val="auto"/>
              </w:rPr>
              <w:t>(chair)</w:t>
            </w:r>
          </w:p>
        </w:tc>
        <w:tc>
          <w:tcPr>
            <w:tcW w:w="14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r>
    </w:tbl>
    <w:p>
      <w:pPr>
        <w:spacing w:after="0" w:line="47" w:lineRule="exact"/>
        <w:rPr>
          <w:sz w:val="20"/>
          <w:szCs w:val="20"/>
          <w:color w:val="auto"/>
        </w:rPr>
      </w:pPr>
    </w:p>
    <w:p>
      <w:pPr>
        <w:jc w:val="both"/>
        <w:ind w:left="1120" w:hanging="358"/>
        <w:spacing w:after="0" w:line="291" w:lineRule="auto"/>
        <w:tabs>
          <w:tab w:leader="none" w:pos="11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Medifast has disclosed that Mr. Brown will not stand for re-election at Medifast’s 2026 annual meeting of stockholders and, as a result, his service on the board of directors of Medifast will end on or around May 19, 2026. Mr. Brown is voluntarily stepping down in connection with Medifast’s cooperation agreement with Steamboat Capital Partners LLC.</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Independent Directors</w:t>
      </w:r>
    </w:p>
    <w:p>
      <w:pPr>
        <w:spacing w:after="0" w:line="162" w:lineRule="exact"/>
        <w:rPr>
          <w:sz w:val="20"/>
          <w:szCs w:val="20"/>
          <w:color w:val="auto"/>
        </w:rPr>
      </w:pPr>
    </w:p>
    <w:p>
      <w:pPr>
        <w:ind w:left="760"/>
        <w:spacing w:after="0" w:line="304" w:lineRule="auto"/>
        <w:rPr>
          <w:sz w:val="20"/>
          <w:szCs w:val="20"/>
          <w:color w:val="auto"/>
        </w:rPr>
      </w:pPr>
      <w:r>
        <w:rPr>
          <w:rFonts w:ascii="Arial" w:cs="Arial" w:eastAsia="Arial" w:hAnsi="Arial"/>
          <w:sz w:val="16"/>
          <w:szCs w:val="16"/>
          <w:color w:val="auto"/>
        </w:rPr>
        <w:t>Other than our Chief Executive Officer (“CEO”), all members of the Board are independent as determined in accordance with applicable rules of Nasdaq and the Securities and Exchange Commission (the “SEC”) and as determined by our Board.</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Leadership Structure; Independent Chairman</w:t>
      </w:r>
    </w:p>
    <w:p>
      <w:pPr>
        <w:spacing w:after="0" w:line="162" w:lineRule="exact"/>
        <w:rPr>
          <w:sz w:val="20"/>
          <w:szCs w:val="20"/>
          <w:color w:val="auto"/>
        </w:rPr>
      </w:pPr>
    </w:p>
    <w:p>
      <w:pPr>
        <w:ind w:left="760"/>
        <w:spacing w:after="0" w:line="304" w:lineRule="auto"/>
        <w:rPr>
          <w:sz w:val="20"/>
          <w:szCs w:val="20"/>
          <w:color w:val="auto"/>
        </w:rPr>
      </w:pPr>
      <w:r>
        <w:rPr>
          <w:rFonts w:ascii="Arial" w:cs="Arial" w:eastAsia="Arial" w:hAnsi="Arial"/>
          <w:sz w:val="16"/>
          <w:szCs w:val="16"/>
          <w:color w:val="auto"/>
        </w:rPr>
        <w:t>Our Board separates the roles of Chairman and Chief Executive Officer. Mr. Brown serves as Chairman, and Mr. Karam serves as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b w:val="1"/>
          <w:bCs w:val="1"/>
          <w:color w:val="auto"/>
        </w:rPr>
        <w:t>2</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Corporate Governance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760" w:right="40"/>
        <w:spacing w:after="0" w:line="286" w:lineRule="auto"/>
        <w:rPr>
          <w:sz w:val="20"/>
          <w:szCs w:val="20"/>
          <w:color w:val="auto"/>
        </w:rPr>
      </w:pPr>
      <w:r>
        <w:rPr>
          <w:rFonts w:ascii="Arial" w:cs="Arial" w:eastAsia="Arial" w:hAnsi="Arial"/>
          <w:sz w:val="16"/>
          <w:szCs w:val="16"/>
          <w:color w:val="auto"/>
        </w:rPr>
        <w:t>Our Board has established corporate governance practices designed to serve the best interests of our Company and our stockholders, including:</w:t>
      </w:r>
    </w:p>
    <w:p>
      <w:pPr>
        <w:spacing w:after="0" w:line="48" w:lineRule="exact"/>
        <w:rPr>
          <w:sz w:val="20"/>
          <w:szCs w:val="20"/>
          <w:color w:val="auto"/>
        </w:rPr>
      </w:pPr>
    </w:p>
    <w:p>
      <w:pPr>
        <w:ind w:left="940" w:hanging="17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code of business conduct and ethics applicable to all of our Board members as well as our employees;</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majority voting standard in non-contested elections for directors;</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 elections for all directors;</w:t>
      </w:r>
    </w:p>
    <w:p>
      <w:pPr>
        <w:spacing w:after="0" w:line="126" w:lineRule="exact"/>
        <w:rPr>
          <w:rFonts w:ascii="Arial" w:cs="Arial" w:eastAsia="Arial" w:hAnsi="Arial"/>
          <w:sz w:val="16"/>
          <w:szCs w:val="16"/>
          <w:color w:val="auto"/>
        </w:rPr>
      </w:pPr>
    </w:p>
    <w:p>
      <w:pPr>
        <w:ind w:left="940" w:right="40" w:hanging="178"/>
        <w:spacing w:after="0" w:line="286"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policy for the submission of complaints or concerns relating to accounting, internal accounting controls or auditing matters; and</w:t>
      </w:r>
    </w:p>
    <w:p>
      <w:pPr>
        <w:spacing w:after="0" w:line="61" w:lineRule="exact"/>
        <w:rPr>
          <w:rFonts w:ascii="Arial" w:cs="Arial" w:eastAsia="Arial" w:hAnsi="Arial"/>
          <w:sz w:val="16"/>
          <w:szCs w:val="16"/>
          <w:color w:val="auto"/>
        </w:rPr>
      </w:pPr>
    </w:p>
    <w:p>
      <w:pPr>
        <w:ind w:left="940" w:hanging="17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procedures regarding stockholder communications with our Board and its committees.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jc w:val="both"/>
        <w:ind w:left="760" w:right="40"/>
        <w:spacing w:after="0" w:line="254" w:lineRule="auto"/>
        <w:rPr>
          <w:sz w:val="20"/>
          <w:szCs w:val="20"/>
          <w:color w:val="auto"/>
        </w:rPr>
      </w:pPr>
      <w:r>
        <w:rPr>
          <w:rFonts w:ascii="Arial" w:cs="Arial" w:eastAsia="Arial" w:hAnsi="Arial"/>
          <w:sz w:val="16"/>
          <w:szCs w:val="16"/>
          <w:color w:val="auto"/>
        </w:rPr>
        <w:t>Under our current compensation program, our non-employee directors receive annual retainers, which are payable in cash unless the applicable director has elected to receive all or a portion of such amount in the form of deferred stock units (“DSUs”), as well as an annual DSU award under the Upbound Group, Inc. Amended 2021 Long-Term Incentive Plan (the “2021 Plan”) with a grant date value of  $145,000 for 2026. In addition, non-employee directors may elect to defer cash dividends otherwise payable on DSUs into additional DSUs. The Company provides a 25% matching contribution on deferrals of cash retainers and cash dividends into DSUs.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Chief Executive Officer, our only employee director, is not entitled to receive compensation for his service as a director.</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Executive Compensation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Program Objectives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objectives of our executive compensation program are to:</w:t>
      </w:r>
    </w:p>
    <w:p>
      <w:pPr>
        <w:spacing w:after="0" w:line="113" w:lineRule="exact"/>
        <w:rPr>
          <w:sz w:val="20"/>
          <w:szCs w:val="20"/>
          <w:color w:val="auto"/>
        </w:rPr>
      </w:pPr>
    </w:p>
    <w:p>
      <w:pPr>
        <w:ind w:left="940" w:hanging="17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attract, retain and motivate senior executives with competitive compensation opportunities;</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incentivize our executives to achieve our short-term and long-term strategic goals;</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align our executive compensation program with the core values identified in our corporate mission statement;</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reward achievement of our financial and non-financial business goals; and</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align executive interests with those of our stockholders.</w:t>
      </w:r>
    </w:p>
    <w:p>
      <w:pPr>
        <w:spacing w:after="0" w:line="167" w:lineRule="exact"/>
        <w:rPr>
          <w:sz w:val="20"/>
          <w:szCs w:val="20"/>
          <w:color w:val="auto"/>
        </w:rPr>
      </w:pPr>
    </w:p>
    <w:p>
      <w:pPr>
        <w:jc w:val="both"/>
        <w:ind w:left="760" w:right="40"/>
        <w:spacing w:after="0" w:line="266" w:lineRule="auto"/>
        <w:rPr>
          <w:sz w:val="20"/>
          <w:szCs w:val="20"/>
          <w:color w:val="auto"/>
        </w:rPr>
      </w:pPr>
      <w:r>
        <w:rPr>
          <w:rFonts w:ascii="Arial" w:cs="Arial" w:eastAsia="Arial" w:hAnsi="Arial"/>
          <w:sz w:val="16"/>
          <w:szCs w:val="16"/>
          <w:color w:val="auto"/>
        </w:rPr>
        <w:t>The Company’s compensation philosophy focuses on ensuring a competitive target total direct compensation (base salary, annual incentive opportunity and long-term incentive compensation opportunity) based on market data for compensation paid at similarly situated public companies in the retail and consumer finance sectors, which include companies in the Company’s Peer Group (as described under “Compensation Discussion and Analysis” below). The Compensation Committee ultimately exercises discretion to finalize pay levels based on numerous factors, including tenure, experience, historical performance and responsibilities.</w:t>
      </w:r>
    </w:p>
    <w:p>
      <w:pPr>
        <w:spacing w:after="0" w:line="303"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The following are the primary forms of compensation currently utilized by the Compensation Committee in compensating our named executive officers:</w:t>
      </w:r>
    </w:p>
    <w:p>
      <w:pPr>
        <w:spacing w:after="0" w:line="33" w:lineRule="exact"/>
        <w:rPr>
          <w:sz w:val="20"/>
          <w:szCs w:val="20"/>
          <w:color w:val="auto"/>
        </w:rPr>
      </w:pPr>
    </w:p>
    <w:p>
      <w:pPr>
        <w:ind w:left="940" w:hanging="178"/>
        <w:spacing w:after="0"/>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 salary, which is paid in cash;</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 incentive compensation, which (to the extent earned for a particular year) is paid in cash and, for 2025, was based on</w:t>
      </w:r>
    </w:p>
    <w:p>
      <w:pPr>
        <w:spacing w:after="0" w:line="30" w:lineRule="exact"/>
        <w:rPr>
          <w:rFonts w:ascii="Arial" w:cs="Arial" w:eastAsia="Arial" w:hAnsi="Arial"/>
          <w:sz w:val="16"/>
          <w:szCs w:val="16"/>
          <w:color w:val="auto"/>
        </w:rPr>
      </w:pPr>
    </w:p>
    <w:p>
      <w:pPr>
        <w:jc w:val="both"/>
        <w:ind w:left="940" w:right="40"/>
        <w:spacing w:after="0" w:line="261" w:lineRule="auto"/>
        <w:rPr>
          <w:rFonts w:ascii="Arial" w:cs="Arial" w:eastAsia="Arial" w:hAnsi="Arial"/>
          <w:sz w:val="16"/>
          <w:szCs w:val="16"/>
          <w:color w:val="auto"/>
        </w:rPr>
      </w:pPr>
      <w:r>
        <w:rPr>
          <w:rFonts w:ascii="Arial" w:cs="Arial" w:eastAsia="Arial" w:hAnsi="Arial"/>
          <w:sz w:val="16"/>
          <w:szCs w:val="16"/>
          <w:color w:val="auto"/>
        </w:rPr>
        <w:t>(1) consolidated Adjusted EBITDA, (2) Acima segment revenue, and (3) Rent-A-Center segment revenue. For purposes of the annual incentive compensation, consolidated Adjusted EBITDA is calculated as net earnings before interest, taxes, stock-based compensation, depreciation and amortization, and the impacts of the annual incentive compensation expense, as adjusted for certain gains and charges we view as extraordinary, unusual or non-recurring in nature or which we believe do not reflect our core business activities (“Adjusted EBITDA”); and</w:t>
      </w:r>
    </w:p>
    <w:p>
      <w:pPr>
        <w:spacing w:after="0" w:line="80" w:lineRule="exact"/>
        <w:rPr>
          <w:rFonts w:ascii="Arial" w:cs="Arial" w:eastAsia="Arial" w:hAnsi="Arial"/>
          <w:sz w:val="16"/>
          <w:szCs w:val="16"/>
          <w:color w:val="auto"/>
        </w:rPr>
      </w:pPr>
    </w:p>
    <w:p>
      <w:pPr>
        <w:jc w:val="both"/>
        <w:ind w:left="940" w:right="40" w:hanging="178"/>
        <w:spacing w:after="0" w:line="275" w:lineRule="auto"/>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long-term incentive compensation, which consists of  (1) restricted stock units which vest one-third each year over a three-year period, and (2) performance stock units which vest based solely on a relative total shareholder return metric over a three-year measurement period.</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6540"/>
        <w:spacing w:after="0"/>
        <w:tabs>
          <w:tab w:leader="none" w:pos="982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rFonts w:ascii="Arial" w:cs="Arial" w:eastAsia="Arial" w:hAnsi="Arial"/>
          <w:sz w:val="14"/>
          <w:szCs w:val="14"/>
          <w:b w:val="1"/>
          <w:bCs w:val="1"/>
          <w:color w:val="auto"/>
        </w:rPr>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Pay for Performance; Relative Total Shareholder Return</w:t>
      </w:r>
    </w:p>
    <w:p>
      <w:pPr>
        <w:spacing w:after="0" w:line="149" w:lineRule="exact"/>
        <w:rPr>
          <w:sz w:val="20"/>
          <w:szCs w:val="20"/>
          <w:color w:val="auto"/>
        </w:rPr>
      </w:pPr>
    </w:p>
    <w:p>
      <w:pPr>
        <w:ind w:left="760"/>
        <w:spacing w:after="0" w:line="304" w:lineRule="auto"/>
        <w:rPr>
          <w:sz w:val="20"/>
          <w:szCs w:val="20"/>
          <w:color w:val="auto"/>
        </w:rPr>
      </w:pPr>
      <w:r>
        <w:rPr>
          <w:rFonts w:ascii="Arial" w:cs="Arial" w:eastAsia="Arial" w:hAnsi="Arial"/>
          <w:sz w:val="16"/>
          <w:szCs w:val="16"/>
          <w:color w:val="auto"/>
        </w:rPr>
        <w:t>Our executive compensation program directly links a substantial portion of executive compensation to our financial and stock price performance through both annual and long-term incentives.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2025 annual cash incentive program was based on (1) consolidated Adjusted EBITDA, (2) Acima segment revenue, and</w:t>
      </w:r>
    </w:p>
    <w:p>
      <w:pPr>
        <w:spacing w:after="0" w:line="31" w:lineRule="exact"/>
        <w:rPr>
          <w:sz w:val="20"/>
          <w:szCs w:val="20"/>
          <w:color w:val="auto"/>
        </w:rPr>
      </w:pPr>
    </w:p>
    <w:p>
      <w:pPr>
        <w:ind w:left="760" w:firstLine="2"/>
        <w:spacing w:after="0" w:line="288" w:lineRule="auto"/>
        <w:tabs>
          <w:tab w:leader="none" w:pos="102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Rent-A-Center segment revenue, and each named executive officer received an amount equal to 74% of the executive’s target bonus amount.</w:t>
      </w:r>
    </w:p>
    <w:p>
      <w:pPr>
        <w:spacing w:after="0" w:line="86"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In 2023, our Compensation Committee granted eligible executive officers performance-based restricted stock units based on our relative Total Shareholder Return (“TSR”) as compared to the S&amp;P 1500 Specialty Retail Index over a three-year measurement period, which ended December 31, 2025. Our relative TSR performance as compared to the S&amp;P 1500 Specialty Retail Index for the three-year period ranked us 33 out of 49 companies in the S&amp;P 1500 Specialty Retail Index, which resulted in the vesting of 50% of the target performance-based restricted stock units that were granted.</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Equity Ownership Guidelines</w:t>
      </w:r>
    </w:p>
    <w:p>
      <w:pPr>
        <w:spacing w:after="0" w:line="162"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We believe that our Board and our management should have a significant financial stake in the Company to ensure that their interests are aligned with those of our stockholders. To that end, our directors, Chief Executive Officer, executive vice presidents, senior vice presidents and vice presidents are subject to equity ownership guidelines.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Hedging and Pledging Restrictions</w:t>
      </w:r>
    </w:p>
    <w:p>
      <w:pPr>
        <w:spacing w:after="0" w:line="162"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Our insider trading policy prohibits our directors, officers and employees from engaging in hedging, monetization or options transactions related to our securities or transactions involving any derivative security of the Company or similar instruments.</w:t>
      </w:r>
    </w:p>
    <w:p>
      <w:pPr>
        <w:spacing w:after="0" w:line="102"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6"/>
          <w:szCs w:val="16"/>
          <w:color w:val="auto"/>
        </w:rPr>
        <w:t>Our insider trading policy also prohibits the holding of securities of the Company in a margin account or pledging securities of the Company as collateral for a loan, in each case unless they are treated as non-marginable by the brokerage firm.</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Clawback Policy</w:t>
      </w:r>
    </w:p>
    <w:p>
      <w:pPr>
        <w:spacing w:after="0" w:line="162"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In accordance with the rules adopted by the SEC and Nasdaq, our Board has adopted an amended clawback policy effective as of December 1, 2023 that requires the Company to recover any compensation that is granted, earned or vested based wholly or in part upon the attainment of any financial reporting measure in the event that the Company is required to prepare a financial restatement to correct a material error (as described under “Compensation Discussion and Analysis — Policies and Risk Mitigation — Clawback Policy”). The clawback policy does not apply to compensation that is granted, earned or vested wholly upon continued service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b w:val="1"/>
          <w:bCs w:val="1"/>
          <w:color w:val="auto"/>
        </w:rPr>
        <w:t>4</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80" w:right="400" w:firstLine="120"/>
        <w:spacing w:after="0" w:line="319" w:lineRule="auto"/>
        <w:rPr>
          <w:sz w:val="20"/>
          <w:szCs w:val="20"/>
          <w:color w:val="auto"/>
        </w:rPr>
      </w:pPr>
      <w:r>
        <w:rPr>
          <w:rFonts w:ascii="Arial" w:cs="Arial" w:eastAsia="Arial" w:hAnsi="Arial"/>
          <w:sz w:val="36"/>
          <w:szCs w:val="36"/>
          <w:b w:val="1"/>
          <w:bCs w:val="1"/>
          <w:color w:val="auto"/>
        </w:rPr>
        <w:t>QUESTIONS AND ANSWERS ABOUT THE 2026 ANNUAL MEETING AND VOTING PROCEDURES</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Stockholders of record as of the close of business on April 7, 2026, the record date for the 2026 Annual Meeting, may vote at the meeting. Each share of common stock entitles the holder to one vote per share. As of April 7, 2026, there were 58,351,797 shares of our common stock outstanding, which were held by 91 holders of record. Most of our stockholders hold their shares as a beneficial owner through a broker or other nominee rather than directly in their own name. As summarized below, there are some distinctions between shares held of record and those owned beneficially.</w:t>
      </w:r>
    </w:p>
    <w:p>
      <w:pPr>
        <w:spacing w:after="0" w:line="76" w:lineRule="exact"/>
        <w:rPr>
          <w:sz w:val="20"/>
          <w:szCs w:val="20"/>
          <w:color w:val="auto"/>
        </w:rPr>
      </w:pPr>
    </w:p>
    <w:p>
      <w:pPr>
        <w:jc w:val="both"/>
        <w:ind w:left="940" w:hanging="178"/>
        <w:spacing w:after="0" w:line="269"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Stockholder of record: If your shares are registered directly in your name with our transfer agent, Computershare Trust Company, N.A., you are considered, with respect to those shares, the stockholder of record, and the Notice was sent directly to you. As the stockholder of record, you have the right to grant your voting proxy directly to the Company or to vote at the 2026 Annual Meeting. If you requested to receive printed proxy materials, we have enclosed a proxy card for you to use. You may also submit your proxy on the Internet, or by telephone.</w:t>
      </w:r>
    </w:p>
    <w:p>
      <w:pPr>
        <w:spacing w:after="0" w:line="75" w:lineRule="exact"/>
        <w:rPr>
          <w:rFonts w:ascii="Arial" w:cs="Arial" w:eastAsia="Arial" w:hAnsi="Arial"/>
          <w:sz w:val="16"/>
          <w:szCs w:val="16"/>
          <w:color w:val="auto"/>
        </w:rPr>
      </w:pPr>
    </w:p>
    <w:p>
      <w:pPr>
        <w:jc w:val="both"/>
        <w:ind w:left="940" w:hanging="178"/>
        <w:spacing w:after="0" w:line="275"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Beneficial owner: If your shares are held in an account in the name of a brokerage firm, bank, broker-dealer, trust or other similar organization (i.e., in street name), like the vast majority of our stockholders, you are considered the beneficial owner of shares held in street name. As the beneficial owner, you must instruct the broker or other nominee how to vote your shares.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The holders of at least a majority of our outstanding shares of common stock entitled to vote at the 2026 Annual Meeting must be present or represented by proxy at the 2026 Annual Meeting to have a quorum. Any stockholder present at the 2026 Annual Meeting or represented by proxy, but who abstains from voting, and “broker non-votes” will be counted for purposes of determining whether a quorum exists. If a quorum is not present, the meeting may be adjourned or postponed from time to time until a quorum is obtained.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56"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You cannot vote your shares of common stock unless you are present at the meeting or you have previously given your proxy before the applicable deadline. If you are a registered stockholder, you may vote your shares or submit a proxy in one of the following convenient ways:</w:t>
      </w:r>
    </w:p>
    <w:p>
      <w:pPr>
        <w:spacing w:after="0" w:line="131"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1400" w:type="dxa"/>
            <w:vAlign w:val="bottom"/>
            <w:tcBorders>
              <w:top w:val="single" w:sz="8" w:color="auto"/>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2260" w:type="dxa"/>
            <w:vAlign w:val="bottom"/>
            <w:tcBorders>
              <w:top w:val="single" w:sz="8" w:color="auto"/>
              <w:bottom w:val="single" w:sz="8" w:color="auto"/>
            </w:tcBorders>
            <w:shd w:val="clear" w:color="auto" w:fill="E5E5E5"/>
          </w:tcPr>
          <w:p>
            <w:pPr>
              <w:ind w:left="380"/>
              <w:spacing w:after="0"/>
              <w:rPr>
                <w:sz w:val="20"/>
                <w:szCs w:val="20"/>
                <w:color w:val="auto"/>
              </w:rPr>
            </w:pPr>
            <w:r>
              <w:rPr>
                <w:rFonts w:ascii="Arial" w:cs="Arial" w:eastAsia="Arial" w:hAnsi="Arial"/>
                <w:sz w:val="15"/>
                <w:szCs w:val="15"/>
                <w:b w:val="1"/>
                <w:bCs w:val="1"/>
                <w:color w:val="auto"/>
              </w:rPr>
              <w:t>Voting Method</w:t>
            </w:r>
          </w:p>
        </w:tc>
        <w:tc>
          <w:tcPr>
            <w:tcW w:w="940" w:type="dxa"/>
            <w:vAlign w:val="bottom"/>
            <w:tcBorders>
              <w:top w:val="single" w:sz="8" w:color="auto"/>
              <w:bottom w:val="single" w:sz="8" w:color="auto"/>
              <w:right w:val="single" w:sz="8" w:color="auto"/>
            </w:tcBorders>
            <w:shd w:val="clear" w:color="auto" w:fill="E5E5E5"/>
          </w:tcPr>
          <w:p>
            <w:pPr>
              <w:ind w:left="8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4440" w:type="dxa"/>
            <w:vAlign w:val="bottom"/>
            <w:tcBorders>
              <w:top w:val="single" w:sz="8" w:color="auto"/>
              <w:bottom w:val="single" w:sz="8" w:color="auto"/>
            </w:tcBorders>
            <w:shd w:val="clear" w:color="auto" w:fill="E5E5E5"/>
          </w:tcPr>
          <w:p>
            <w:pPr>
              <w:ind w:left="1360"/>
              <w:spacing w:after="0"/>
              <w:rPr>
                <w:sz w:val="20"/>
                <w:szCs w:val="20"/>
                <w:color w:val="auto"/>
              </w:rPr>
            </w:pPr>
            <w:r>
              <w:rPr>
                <w:rFonts w:ascii="Arial" w:cs="Arial" w:eastAsia="Arial" w:hAnsi="Arial"/>
                <w:sz w:val="15"/>
                <w:szCs w:val="15"/>
                <w:b w:val="1"/>
                <w:bCs w:val="1"/>
                <w:color w:val="auto"/>
              </w:rPr>
              <w:t>Description of Process</w:t>
            </w:r>
          </w:p>
        </w:tc>
        <w:tc>
          <w:tcPr>
            <w:tcW w:w="80" w:type="dxa"/>
            <w:vAlign w:val="bottom"/>
            <w:tcBorders>
              <w:top w:val="single" w:sz="8" w:color="auto"/>
              <w:bottom w:val="single" w:sz="8" w:color="auto"/>
              <w:right w:val="single" w:sz="8" w:color="auto"/>
            </w:tcBorders>
            <w:shd w:val="clear" w:color="auto" w:fill="E5E5E5"/>
          </w:tcPr>
          <w:p>
            <w:pPr>
              <w:spacing w:after="0"/>
              <w:rPr>
                <w:sz w:val="20"/>
                <w:szCs w:val="20"/>
                <w:color w:val="auto"/>
              </w:rPr>
            </w:pPr>
            <w:r>
              <w:rPr>
                <w:rFonts w:ascii="Arial" w:cs="Arial" w:eastAsia="Arial" w:hAnsi="Arial"/>
                <w:sz w:val="15"/>
                <w:szCs w:val="15"/>
                <w:b w:val="1"/>
                <w:bCs w:val="1"/>
                <w:color w:val="auto"/>
              </w:rPr>
              <w:t>​</w:t>
            </w:r>
          </w:p>
        </w:tc>
      </w:tr>
      <w:tr>
        <w:trPr>
          <w:trHeight w:val="192"/>
        </w:trPr>
        <w:tc>
          <w:tcPr>
            <w:tcW w:w="14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 By Internet</w:t>
            </w:r>
          </w:p>
        </w:tc>
        <w:tc>
          <w:tcPr>
            <w:tcW w:w="2260" w:type="dxa"/>
            <w:vAlign w:val="bottom"/>
          </w:tcPr>
          <w:p>
            <w:pPr>
              <w:spacing w:after="0"/>
              <w:rPr>
                <w:sz w:val="16"/>
                <w:szCs w:val="16"/>
                <w:color w:val="auto"/>
              </w:rPr>
            </w:pPr>
          </w:p>
        </w:tc>
        <w:tc>
          <w:tcPr>
            <w:tcW w:w="940" w:type="dxa"/>
            <w:vAlign w:val="bottom"/>
            <w:tcBorders>
              <w:right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4520" w:type="dxa"/>
            <w:vAlign w:val="bottom"/>
            <w:gridSpan w:val="2"/>
          </w:tcPr>
          <w:p>
            <w:pPr>
              <w:spacing w:after="0"/>
              <w:rPr>
                <w:sz w:val="20"/>
                <w:szCs w:val="20"/>
                <w:color w:val="auto"/>
              </w:rPr>
            </w:pPr>
            <w:r>
              <w:rPr>
                <w:rFonts w:ascii="Arial" w:cs="Arial" w:eastAsia="Arial" w:hAnsi="Arial"/>
                <w:sz w:val="15"/>
                <w:szCs w:val="15"/>
                <w:color w:val="auto"/>
              </w:rPr>
              <w:t>​ You may submit a proxy electronically on the Internet, by visiting​</w:t>
            </w:r>
          </w:p>
        </w:tc>
        <w:tc>
          <w:tcPr>
            <w:tcW w:w="8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the website shown on the Notice or proxy card and following the</w:t>
            </w:r>
          </w:p>
        </w:tc>
        <w:tc>
          <w:tcPr>
            <w:tcW w:w="80" w:type="dxa"/>
            <w:vAlign w:val="bottom"/>
            <w:tcBorders>
              <w:right w:val="single" w:sz="8" w:color="auto"/>
            </w:tcBorders>
          </w:tcPr>
          <w:p>
            <w:pPr>
              <w:spacing w:after="0"/>
              <w:rPr>
                <w:sz w:val="16"/>
                <w:szCs w:val="16"/>
                <w:color w:val="auto"/>
              </w:rPr>
            </w:pPr>
          </w:p>
        </w:tc>
      </w:tr>
      <w:tr>
        <w:trPr>
          <w:trHeight w:val="213"/>
        </w:trPr>
        <w:tc>
          <w:tcPr>
            <w:tcW w:w="140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instructions.</w:t>
            </w:r>
          </w:p>
        </w:tc>
        <w:tc>
          <w:tcPr>
            <w:tcW w:w="80" w:type="dxa"/>
            <w:vAlign w:val="bottom"/>
            <w:tcBorders>
              <w:bottom w:val="single" w:sz="8" w:color="auto"/>
              <w:right w:val="single" w:sz="8" w:color="auto"/>
            </w:tcBorders>
          </w:tcPr>
          <w:p>
            <w:pPr>
              <w:spacing w:after="0"/>
              <w:rPr>
                <w:sz w:val="18"/>
                <w:szCs w:val="18"/>
                <w:color w:val="auto"/>
              </w:rPr>
            </w:pPr>
          </w:p>
        </w:tc>
      </w:tr>
      <w:tr>
        <w:trPr>
          <w:trHeight w:val="199"/>
        </w:trPr>
        <w:tc>
          <w:tcPr>
            <w:tcW w:w="14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 By Telephone</w:t>
            </w:r>
          </w:p>
        </w:tc>
        <w:tc>
          <w:tcPr>
            <w:tcW w:w="2260" w:type="dxa"/>
            <w:vAlign w:val="bottom"/>
          </w:tcPr>
          <w:p>
            <w:pPr>
              <w:spacing w:after="0"/>
              <w:rPr>
                <w:sz w:val="17"/>
                <w:szCs w:val="17"/>
                <w:color w:val="auto"/>
              </w:rPr>
            </w:pPr>
          </w:p>
        </w:tc>
        <w:tc>
          <w:tcPr>
            <w:tcW w:w="940" w:type="dxa"/>
            <w:vAlign w:val="bottom"/>
            <w:tcBorders>
              <w:right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4520" w:type="dxa"/>
            <w:vAlign w:val="bottom"/>
            <w:gridSpan w:val="2"/>
          </w:tcPr>
          <w:p>
            <w:pPr>
              <w:spacing w:after="0"/>
              <w:rPr>
                <w:sz w:val="20"/>
                <w:szCs w:val="20"/>
                <w:color w:val="auto"/>
              </w:rPr>
            </w:pPr>
            <w:r>
              <w:rPr>
                <w:rFonts w:ascii="Arial" w:cs="Arial" w:eastAsia="Arial" w:hAnsi="Arial"/>
                <w:sz w:val="15"/>
                <w:szCs w:val="15"/>
                <w:color w:val="auto"/>
              </w:rPr>
              <w:t>​ If you request paper copies of the proxy materials by mail, you​</w:t>
            </w:r>
          </w:p>
        </w:tc>
        <w:tc>
          <w:tcPr>
            <w:tcW w:w="80" w:type="dxa"/>
            <w:vAlign w:val="bottom"/>
            <w:tcBorders>
              <w:right w:val="single" w:sz="8" w:color="auto"/>
            </w:tcBorders>
          </w:tcPr>
          <w:p>
            <w:pPr>
              <w:spacing w:after="0"/>
              <w:rPr>
                <w:sz w:val="17"/>
                <w:szCs w:val="17"/>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may  submit  a  proxy  by  telephone,  by  calling  the  toll-free</w:t>
            </w:r>
          </w:p>
        </w:tc>
        <w:tc>
          <w:tcPr>
            <w:tcW w:w="8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telephone number shown on the Notice or proxy card and</w:t>
            </w:r>
          </w:p>
        </w:tc>
        <w:tc>
          <w:tcPr>
            <w:tcW w:w="80" w:type="dxa"/>
            <w:vAlign w:val="bottom"/>
            <w:tcBorders>
              <w:right w:val="single" w:sz="8" w:color="auto"/>
            </w:tcBorders>
          </w:tcPr>
          <w:p>
            <w:pPr>
              <w:spacing w:after="0"/>
              <w:rPr>
                <w:sz w:val="16"/>
                <w:szCs w:val="16"/>
                <w:color w:val="auto"/>
              </w:rPr>
            </w:pPr>
          </w:p>
        </w:tc>
      </w:tr>
      <w:tr>
        <w:trPr>
          <w:trHeight w:val="213"/>
        </w:trPr>
        <w:tc>
          <w:tcPr>
            <w:tcW w:w="140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following the instructions.</w:t>
            </w:r>
          </w:p>
        </w:tc>
        <w:tc>
          <w:tcPr>
            <w:tcW w:w="80" w:type="dxa"/>
            <w:vAlign w:val="bottom"/>
            <w:tcBorders>
              <w:bottom w:val="single" w:sz="8" w:color="auto"/>
              <w:right w:val="single" w:sz="8" w:color="auto"/>
            </w:tcBorders>
          </w:tcPr>
          <w:p>
            <w:pPr>
              <w:spacing w:after="0"/>
              <w:rPr>
                <w:sz w:val="18"/>
                <w:szCs w:val="18"/>
                <w:color w:val="auto"/>
              </w:rPr>
            </w:pPr>
          </w:p>
        </w:tc>
      </w:tr>
      <w:tr>
        <w:trPr>
          <w:trHeight w:val="199"/>
        </w:trPr>
        <w:tc>
          <w:tcPr>
            <w:tcW w:w="14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 By Mail</w:t>
            </w:r>
          </w:p>
        </w:tc>
        <w:tc>
          <w:tcPr>
            <w:tcW w:w="2260" w:type="dxa"/>
            <w:vAlign w:val="bottom"/>
          </w:tcPr>
          <w:p>
            <w:pPr>
              <w:spacing w:after="0"/>
              <w:rPr>
                <w:sz w:val="17"/>
                <w:szCs w:val="17"/>
                <w:color w:val="auto"/>
              </w:rPr>
            </w:pPr>
          </w:p>
        </w:tc>
        <w:tc>
          <w:tcPr>
            <w:tcW w:w="940" w:type="dxa"/>
            <w:vAlign w:val="bottom"/>
            <w:tcBorders>
              <w:right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4520" w:type="dxa"/>
            <w:vAlign w:val="bottom"/>
            <w:gridSpan w:val="2"/>
          </w:tcPr>
          <w:p>
            <w:pPr>
              <w:spacing w:after="0"/>
              <w:rPr>
                <w:sz w:val="20"/>
                <w:szCs w:val="20"/>
                <w:color w:val="auto"/>
              </w:rPr>
            </w:pPr>
            <w:r>
              <w:rPr>
                <w:rFonts w:ascii="Arial" w:cs="Arial" w:eastAsia="Arial" w:hAnsi="Arial"/>
                <w:sz w:val="15"/>
                <w:szCs w:val="15"/>
                <w:color w:val="auto"/>
              </w:rPr>
              <w:t>​ If you request paper copies of the proxy materials by mail, you​</w:t>
            </w:r>
          </w:p>
        </w:tc>
        <w:tc>
          <w:tcPr>
            <w:tcW w:w="80" w:type="dxa"/>
            <w:vAlign w:val="bottom"/>
            <w:tcBorders>
              <w:right w:val="single" w:sz="8" w:color="auto"/>
            </w:tcBorders>
          </w:tcPr>
          <w:p>
            <w:pPr>
              <w:spacing w:after="0"/>
              <w:rPr>
                <w:sz w:val="17"/>
                <w:szCs w:val="17"/>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may submit a proxy by signing, dating and returning a paper</w:t>
            </w:r>
          </w:p>
        </w:tc>
        <w:tc>
          <w:tcPr>
            <w:tcW w:w="8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proxy  card  in  accordance  with  its  instructions.  The  Notice</w:t>
            </w:r>
          </w:p>
        </w:tc>
        <w:tc>
          <w:tcPr>
            <w:tcW w:w="8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provides instructions on how to request a paper proxy card and</w:t>
            </w:r>
          </w:p>
        </w:tc>
        <w:tc>
          <w:tcPr>
            <w:tcW w:w="80" w:type="dxa"/>
            <w:vAlign w:val="bottom"/>
            <w:tcBorders>
              <w:right w:val="single" w:sz="8" w:color="auto"/>
            </w:tcBorders>
          </w:tcPr>
          <w:p>
            <w:pPr>
              <w:spacing w:after="0"/>
              <w:rPr>
                <w:sz w:val="16"/>
                <w:szCs w:val="16"/>
                <w:color w:val="auto"/>
              </w:rPr>
            </w:pPr>
          </w:p>
        </w:tc>
      </w:tr>
      <w:tr>
        <w:trPr>
          <w:trHeight w:val="213"/>
        </w:trPr>
        <w:tc>
          <w:tcPr>
            <w:tcW w:w="140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proxy materials.</w:t>
            </w:r>
          </w:p>
        </w:tc>
        <w:tc>
          <w:tcPr>
            <w:tcW w:w="80" w:type="dxa"/>
            <w:vAlign w:val="bottom"/>
            <w:tcBorders>
              <w:bottom w:val="single" w:sz="8" w:color="auto"/>
              <w:right w:val="single" w:sz="8" w:color="auto"/>
            </w:tcBorders>
          </w:tcPr>
          <w:p>
            <w:pPr>
              <w:spacing w:after="0"/>
              <w:rPr>
                <w:sz w:val="18"/>
                <w:szCs w:val="18"/>
                <w:color w:val="auto"/>
              </w:rPr>
            </w:pPr>
          </w:p>
        </w:tc>
      </w:tr>
      <w:tr>
        <w:trPr>
          <w:trHeight w:val="199"/>
        </w:trPr>
        <w:tc>
          <w:tcPr>
            <w:tcW w:w="14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 In Person</w:t>
            </w:r>
          </w:p>
        </w:tc>
        <w:tc>
          <w:tcPr>
            <w:tcW w:w="2260" w:type="dxa"/>
            <w:vAlign w:val="bottom"/>
          </w:tcPr>
          <w:p>
            <w:pPr>
              <w:spacing w:after="0"/>
              <w:rPr>
                <w:sz w:val="17"/>
                <w:szCs w:val="17"/>
                <w:color w:val="auto"/>
              </w:rPr>
            </w:pPr>
          </w:p>
        </w:tc>
        <w:tc>
          <w:tcPr>
            <w:tcW w:w="940" w:type="dxa"/>
            <w:vAlign w:val="bottom"/>
            <w:tcBorders>
              <w:right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4520" w:type="dxa"/>
            <w:vAlign w:val="bottom"/>
            <w:gridSpan w:val="2"/>
          </w:tcPr>
          <w:p>
            <w:pPr>
              <w:spacing w:after="0"/>
              <w:rPr>
                <w:sz w:val="20"/>
                <w:szCs w:val="20"/>
                <w:color w:val="auto"/>
              </w:rPr>
            </w:pPr>
            <w:r>
              <w:rPr>
                <w:rFonts w:ascii="Arial" w:cs="Arial" w:eastAsia="Arial" w:hAnsi="Arial"/>
                <w:sz w:val="15"/>
                <w:szCs w:val="15"/>
                <w:color w:val="auto"/>
              </w:rPr>
              <w:t>​ By properly and timely completing and delivering a company​</w:t>
            </w:r>
          </w:p>
        </w:tc>
        <w:tc>
          <w:tcPr>
            <w:tcW w:w="80" w:type="dxa"/>
            <w:vAlign w:val="bottom"/>
            <w:tcBorders>
              <w:right w:val="single" w:sz="8" w:color="auto"/>
            </w:tcBorders>
          </w:tcPr>
          <w:p>
            <w:pPr>
              <w:spacing w:after="0"/>
              <w:rPr>
                <w:sz w:val="17"/>
                <w:szCs w:val="17"/>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ballot to the inspector of election at the 2026 Annual Meeting,</w:t>
            </w:r>
          </w:p>
        </w:tc>
        <w:tc>
          <w:tcPr>
            <w:tcW w:w="80" w:type="dxa"/>
            <w:vAlign w:val="bottom"/>
            <w:tcBorders>
              <w:right w:val="single" w:sz="8" w:color="auto"/>
            </w:tcBorders>
          </w:tcPr>
          <w:p>
            <w:pPr>
              <w:spacing w:after="0"/>
              <w:rPr>
                <w:sz w:val="16"/>
                <w:szCs w:val="16"/>
                <w:color w:val="auto"/>
              </w:rPr>
            </w:pPr>
          </w:p>
        </w:tc>
      </w:tr>
      <w:tr>
        <w:trPr>
          <w:trHeight w:val="200"/>
        </w:trPr>
        <w:tc>
          <w:tcPr>
            <w:tcW w:w="1400" w:type="dxa"/>
            <w:vAlign w:val="bottom"/>
            <w:tcBorders>
              <w:left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prior to the closing of the polls.</w:t>
            </w:r>
          </w:p>
        </w:tc>
        <w:tc>
          <w:tcPr>
            <w:tcW w:w="80" w:type="dxa"/>
            <w:vAlign w:val="bottom"/>
            <w:tcBorders>
              <w:right w:val="single" w:sz="8" w:color="auto"/>
            </w:tcBorders>
          </w:tcPr>
          <w:p>
            <w:pPr>
              <w:spacing w:after="0"/>
              <w:rPr>
                <w:sz w:val="17"/>
                <w:szCs w:val="17"/>
                <w:color w:val="auto"/>
              </w:rPr>
            </w:pPr>
          </w:p>
        </w:tc>
      </w:tr>
      <w:tr>
        <w:trPr>
          <w:trHeight w:val="74"/>
        </w:trPr>
        <w:tc>
          <w:tcPr>
            <w:tcW w:w="1400" w:type="dxa"/>
            <w:vAlign w:val="bottom"/>
            <w:tcBorders>
              <w:left w:val="single" w:sz="8" w:color="auto"/>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r>
    </w:tbl>
    <w:p>
      <w:pPr>
        <w:spacing w:after="0" w:line="121"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If you are submitting your proxy on the Internet prior to the 2026 Annual Meeting or by telephone, your voting instructions must be received by 11:59 p.m., Eastern Time, on June 1, 2026, unless you are a participant in our 401(k) plan, in which case your voting instructions must be received by 11:59 p.m., Eastern Time, on May 28, 2026.</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6540"/>
        <w:spacing w:after="0"/>
        <w:tabs>
          <w:tab w:leader="none" w:pos="982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rFonts w:ascii="Arial" w:cs="Arial" w:eastAsia="Arial" w:hAnsi="Arial"/>
          <w:sz w:val="14"/>
          <w:szCs w:val="14"/>
          <w:b w:val="1"/>
          <w:bCs w:val="1"/>
          <w:color w:val="auto"/>
        </w:rPr>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QUESTIONS AND ANSWERS ABOUT THE 2026 ANNUAL MEETING AND VOTING PROCEDURES</w:t>
      </w:r>
    </w:p>
    <w:p>
      <w:pPr>
        <w:spacing w:after="0" w:line="370"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If your shares are held in street name, you will receive instructions from your bank, broker or other holder of record that you must follow in order for your shares to be voted.</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How will the proxies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56"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The Board has appointed each of Mr. Bryan Pechersky, Executive Vice President — General Counsel and Corporate Secretary, and Mr. Fahmi Karam, Chief Executive Officer, as the management proxyholders for the 2026 Annual Meeting. All properly executed proxies, unless revoked as described below, will be voted by a management proxyholder at the meeting in accordance with your directions on the proxy. If a properly executed proxy does not provide instructions, the shares of common stock represented by your proxy will be voted:</w:t>
      </w:r>
    </w:p>
    <w:p>
      <w:pPr>
        <w:spacing w:after="0" w:line="139"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100" w:type="dxa"/>
            <w:vAlign w:val="bottom"/>
            <w:tcBorders>
              <w:top w:val="single" w:sz="8" w:color="auto"/>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4340" w:type="dxa"/>
            <w:vAlign w:val="bottom"/>
            <w:tcBorders>
              <w:top w:val="single" w:sz="8" w:color="auto"/>
              <w:bottom w:val="single" w:sz="8" w:color="auto"/>
            </w:tcBorders>
            <w:shd w:val="clear" w:color="auto" w:fill="E5E5E5"/>
          </w:tcPr>
          <w:p>
            <w:pPr>
              <w:ind w:left="1880"/>
              <w:spacing w:after="0"/>
              <w:rPr>
                <w:sz w:val="20"/>
                <w:szCs w:val="20"/>
                <w:color w:val="auto"/>
              </w:rPr>
            </w:pPr>
            <w:r>
              <w:rPr>
                <w:rFonts w:ascii="Arial" w:cs="Arial" w:eastAsia="Arial" w:hAnsi="Arial"/>
                <w:sz w:val="15"/>
                <w:szCs w:val="15"/>
                <w:b w:val="1"/>
                <w:bCs w:val="1"/>
                <w:color w:val="auto"/>
              </w:rPr>
              <w:t>Proposal</w:t>
            </w:r>
          </w:p>
        </w:tc>
        <w:tc>
          <w:tcPr>
            <w:tcW w:w="160" w:type="dxa"/>
            <w:vAlign w:val="bottom"/>
            <w:tcBorders>
              <w:top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4400" w:type="dxa"/>
            <w:vAlign w:val="bottom"/>
            <w:tcBorders>
              <w:top w:val="single" w:sz="8" w:color="auto"/>
              <w:bottom w:val="single" w:sz="8" w:color="auto"/>
            </w:tcBorders>
            <w:shd w:val="clear" w:color="auto" w:fill="E5E5E5"/>
          </w:tcPr>
          <w:p>
            <w:pPr>
              <w:ind w:left="1320"/>
              <w:spacing w:after="0"/>
              <w:rPr>
                <w:sz w:val="20"/>
                <w:szCs w:val="20"/>
                <w:color w:val="auto"/>
              </w:rPr>
            </w:pPr>
            <w:r>
              <w:rPr>
                <w:rFonts w:ascii="Arial" w:cs="Arial" w:eastAsia="Arial" w:hAnsi="Arial"/>
                <w:sz w:val="15"/>
                <w:szCs w:val="15"/>
                <w:b w:val="1"/>
                <w:bCs w:val="1"/>
                <w:color w:val="auto"/>
              </w:rPr>
              <w:t>Board Recommendation</w:t>
            </w:r>
          </w:p>
        </w:tc>
        <w:tc>
          <w:tcPr>
            <w:tcW w:w="120" w:type="dxa"/>
            <w:vAlign w:val="bottom"/>
            <w:tcBorders>
              <w:top w:val="single" w:sz="8" w:color="auto"/>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r>
      <w:tr>
        <w:trPr>
          <w:trHeight w:val="223"/>
        </w:trPr>
        <w:tc>
          <w:tcPr>
            <w:tcW w:w="4440" w:type="dxa"/>
            <w:vAlign w:val="bottom"/>
            <w:tcBorders>
              <w:left w:val="single" w:sz="8" w:color="auto"/>
              <w:bottom w:val="single" w:sz="8" w:color="auto"/>
            </w:tcBorders>
            <w:gridSpan w:val="2"/>
          </w:tcPr>
          <w:p>
            <w:pPr>
              <w:ind w:left="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One: Election of Directors</w:t>
            </w:r>
          </w:p>
        </w:tc>
        <w:tc>
          <w:tcPr>
            <w:tcW w:w="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448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“FOR” each of the Board’s nominees for director</w:t>
            </w: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r>
      <w:tr>
        <w:trPr>
          <w:trHeight w:val="192"/>
        </w:trPr>
        <w:tc>
          <w:tcPr>
            <w:tcW w:w="444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Two: Ratification of the Audit &amp; Risk Committee’s Selection of</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4600" w:type="dxa"/>
            <w:vAlign w:val="bottom"/>
            <w:tcBorders>
              <w:right w:val="single" w:sz="8" w:color="auto"/>
            </w:tcBorders>
            <w:gridSpan w:val="3"/>
          </w:tcPr>
          <w:p>
            <w:pPr>
              <w:jc w:val="right"/>
              <w:ind w:right="4"/>
              <w:spacing w:after="0"/>
              <w:rPr>
                <w:sz w:val="20"/>
                <w:szCs w:val="20"/>
                <w:color w:val="auto"/>
              </w:rPr>
            </w:pPr>
            <w:r>
              <w:rPr>
                <w:rFonts w:ascii="Arial" w:cs="Arial" w:eastAsia="Arial" w:hAnsi="Arial"/>
                <w:sz w:val="15"/>
                <w:szCs w:val="15"/>
                <w:color w:val="auto"/>
              </w:rPr>
              <w:t>​ “FOR” the ratification of the Audit &amp; Risk Committee’s selection​</w:t>
            </w:r>
          </w:p>
        </w:tc>
      </w:tr>
      <w:tr>
        <w:trPr>
          <w:trHeight w:val="189"/>
        </w:trPr>
        <w:tc>
          <w:tcPr>
            <w:tcW w:w="100" w:type="dxa"/>
            <w:vAlign w:val="bottom"/>
            <w:tcBorders>
              <w:left w:val="single" w:sz="8" w:color="auto"/>
            </w:tcBorders>
          </w:tcPr>
          <w:p>
            <w:pPr>
              <w:spacing w:after="0"/>
              <w:rPr>
                <w:sz w:val="16"/>
                <w:szCs w:val="16"/>
                <w:color w:val="auto"/>
              </w:rPr>
            </w:pPr>
          </w:p>
        </w:tc>
        <w:tc>
          <w:tcPr>
            <w:tcW w:w="4340" w:type="dxa"/>
            <w:vAlign w:val="bottom"/>
          </w:tcPr>
          <w:p>
            <w:pPr>
              <w:ind w:left="20"/>
              <w:spacing w:after="0"/>
              <w:rPr>
                <w:sz w:val="20"/>
                <w:szCs w:val="20"/>
                <w:color w:val="auto"/>
              </w:rPr>
            </w:pPr>
            <w:r>
              <w:rPr>
                <w:rFonts w:ascii="Arial" w:cs="Arial" w:eastAsia="Arial" w:hAnsi="Arial"/>
                <w:sz w:val="15"/>
                <w:szCs w:val="15"/>
                <w:color w:val="auto"/>
              </w:rPr>
              <w:t>Deloitte &amp; Touche LLP</w:t>
            </w:r>
          </w:p>
        </w:tc>
        <w:tc>
          <w:tcPr>
            <w:tcW w:w="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of Deloitte &amp; Touche LLP as our independent registered public</w:t>
            </w:r>
          </w:p>
        </w:tc>
        <w:tc>
          <w:tcPr>
            <w:tcW w:w="120" w:type="dxa"/>
            <w:vAlign w:val="bottom"/>
            <w:tcBorders>
              <w:right w:val="single" w:sz="8" w:color="auto"/>
            </w:tcBorders>
          </w:tcPr>
          <w:p>
            <w:pPr>
              <w:spacing w:after="0"/>
              <w:rPr>
                <w:sz w:val="16"/>
                <w:szCs w:val="16"/>
                <w:color w:val="auto"/>
              </w:rPr>
            </w:pPr>
          </w:p>
        </w:tc>
      </w:tr>
      <w:tr>
        <w:trPr>
          <w:trHeight w:val="213"/>
        </w:trPr>
        <w:tc>
          <w:tcPr>
            <w:tcW w:w="100" w:type="dxa"/>
            <w:vAlign w:val="bottom"/>
            <w:tcBorders>
              <w:left w:val="single" w:sz="8" w:color="auto"/>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accounting firm for 2026</w:t>
            </w:r>
          </w:p>
        </w:tc>
        <w:tc>
          <w:tcPr>
            <w:tcW w:w="120" w:type="dxa"/>
            <w:vAlign w:val="bottom"/>
            <w:tcBorders>
              <w:bottom w:val="single" w:sz="8" w:color="auto"/>
              <w:right w:val="single" w:sz="8" w:color="auto"/>
            </w:tcBorders>
          </w:tcPr>
          <w:p>
            <w:pPr>
              <w:spacing w:after="0"/>
              <w:rPr>
                <w:sz w:val="18"/>
                <w:szCs w:val="18"/>
                <w:color w:val="auto"/>
              </w:rPr>
            </w:pPr>
          </w:p>
        </w:tc>
      </w:tr>
      <w:tr>
        <w:trPr>
          <w:trHeight w:val="199"/>
        </w:trPr>
        <w:tc>
          <w:tcPr>
            <w:tcW w:w="444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Three: Advisory Vote on Executive Compensation</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4600" w:type="dxa"/>
            <w:vAlign w:val="bottom"/>
            <w:tcBorders>
              <w:right w:val="single" w:sz="8" w:color="auto"/>
            </w:tcBorders>
            <w:gridSpan w:val="3"/>
          </w:tcPr>
          <w:p>
            <w:pPr>
              <w:jc w:val="right"/>
              <w:ind w:right="4"/>
              <w:spacing w:after="0"/>
              <w:rPr>
                <w:sz w:val="20"/>
                <w:szCs w:val="20"/>
                <w:color w:val="auto"/>
              </w:rPr>
            </w:pPr>
            <w:r>
              <w:rPr>
                <w:rFonts w:ascii="Arial" w:cs="Arial" w:eastAsia="Arial" w:hAnsi="Arial"/>
                <w:sz w:val="15"/>
                <w:szCs w:val="15"/>
                <w:color w:val="auto"/>
              </w:rPr>
              <w:t>​ “FOR”  the  resolution  approving,  on  an  advisory  basis,  the​</w:t>
            </w:r>
          </w:p>
        </w:tc>
      </w:tr>
      <w:tr>
        <w:trPr>
          <w:trHeight w:val="189"/>
        </w:trPr>
        <w:tc>
          <w:tcPr>
            <w:tcW w:w="100" w:type="dxa"/>
            <w:vAlign w:val="bottom"/>
            <w:tcBorders>
              <w:left w:val="single" w:sz="8" w:color="auto"/>
            </w:tcBorders>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compensation of the named executive officers for the year</w:t>
            </w:r>
          </w:p>
        </w:tc>
        <w:tc>
          <w:tcPr>
            <w:tcW w:w="120" w:type="dxa"/>
            <w:vAlign w:val="bottom"/>
            <w:tcBorders>
              <w:right w:val="single" w:sz="8" w:color="auto"/>
            </w:tcBorders>
          </w:tcPr>
          <w:p>
            <w:pPr>
              <w:spacing w:after="0"/>
              <w:rPr>
                <w:sz w:val="16"/>
                <w:szCs w:val="16"/>
                <w:color w:val="auto"/>
              </w:rPr>
            </w:pPr>
          </w:p>
        </w:tc>
      </w:tr>
      <w:tr>
        <w:trPr>
          <w:trHeight w:val="213"/>
        </w:trPr>
        <w:tc>
          <w:tcPr>
            <w:tcW w:w="100" w:type="dxa"/>
            <w:vAlign w:val="bottom"/>
            <w:tcBorders>
              <w:left w:val="single" w:sz="8" w:color="auto"/>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ended December 31, 2025, as set forth in this proxy statement</w:t>
            </w:r>
          </w:p>
        </w:tc>
        <w:tc>
          <w:tcPr>
            <w:tcW w:w="120" w:type="dxa"/>
            <w:vAlign w:val="bottom"/>
            <w:tcBorders>
              <w:bottom w:val="single" w:sz="8" w:color="auto"/>
              <w:right w:val="single" w:sz="8" w:color="auto"/>
            </w:tcBorders>
          </w:tcPr>
          <w:p>
            <w:pPr>
              <w:spacing w:after="0"/>
              <w:rPr>
                <w:sz w:val="18"/>
                <w:szCs w:val="18"/>
                <w:color w:val="auto"/>
              </w:rPr>
            </w:pPr>
          </w:p>
        </w:tc>
      </w:tr>
      <w:tr>
        <w:trPr>
          <w:trHeight w:val="199"/>
        </w:trPr>
        <w:tc>
          <w:tcPr>
            <w:tcW w:w="444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Four: Advisory Vote on the Frequency of Future Advisory Votes</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4600" w:type="dxa"/>
            <w:vAlign w:val="bottom"/>
            <w:tcBorders>
              <w:right w:val="single" w:sz="8" w:color="auto"/>
            </w:tcBorders>
            <w:gridSpan w:val="3"/>
          </w:tcPr>
          <w:p>
            <w:pPr>
              <w:jc w:val="right"/>
              <w:ind w:right="4"/>
              <w:spacing w:after="0"/>
              <w:rPr>
                <w:sz w:val="20"/>
                <w:szCs w:val="20"/>
                <w:color w:val="auto"/>
              </w:rPr>
            </w:pPr>
            <w:r>
              <w:rPr>
                <w:rFonts w:ascii="Arial" w:cs="Arial" w:eastAsia="Arial" w:hAnsi="Arial"/>
                <w:sz w:val="15"/>
                <w:szCs w:val="15"/>
                <w:color w:val="auto"/>
              </w:rPr>
              <w:t>​ “FOR”  the  resolution  approving,  on  an  advisory  basis,  the​</w:t>
            </w:r>
          </w:p>
        </w:tc>
      </w:tr>
      <w:tr>
        <w:trPr>
          <w:trHeight w:val="213"/>
        </w:trPr>
        <w:tc>
          <w:tcPr>
            <w:tcW w:w="100" w:type="dxa"/>
            <w:vAlign w:val="bottom"/>
            <w:tcBorders>
              <w:left w:val="single" w:sz="8" w:color="auto"/>
              <w:bottom w:val="single" w:sz="8" w:color="auto"/>
            </w:tcBorders>
          </w:tcPr>
          <w:p>
            <w:pPr>
              <w:spacing w:after="0"/>
              <w:rPr>
                <w:sz w:val="18"/>
                <w:szCs w:val="18"/>
                <w:color w:val="auto"/>
              </w:rPr>
            </w:pP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on Executive Compensation</w:t>
            </w:r>
          </w:p>
        </w:tc>
        <w:tc>
          <w:tcPr>
            <w:tcW w:w="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frequency of future advisory votes on executive compensation</w:t>
            </w:r>
          </w:p>
        </w:tc>
        <w:tc>
          <w:tcPr>
            <w:tcW w:w="120" w:type="dxa"/>
            <w:vAlign w:val="bottom"/>
            <w:tcBorders>
              <w:bottom w:val="single" w:sz="8" w:color="auto"/>
              <w:right w:val="single" w:sz="8" w:color="auto"/>
            </w:tcBorders>
          </w:tcPr>
          <w:p>
            <w:pPr>
              <w:spacing w:after="0"/>
              <w:rPr>
                <w:sz w:val="18"/>
                <w:szCs w:val="18"/>
                <w:color w:val="auto"/>
              </w:rPr>
            </w:pPr>
          </w:p>
        </w:tc>
      </w:tr>
      <w:tr>
        <w:trPr>
          <w:trHeight w:val="199"/>
        </w:trPr>
        <w:tc>
          <w:tcPr>
            <w:tcW w:w="444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Five: Approval of the Upbound Group, Inc. 2026 Long-Term</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4600" w:type="dxa"/>
            <w:vAlign w:val="bottom"/>
            <w:tcBorders>
              <w:right w:val="single" w:sz="8" w:color="auto"/>
            </w:tcBorders>
            <w:gridSpan w:val="3"/>
          </w:tcPr>
          <w:p>
            <w:pPr>
              <w:jc w:val="right"/>
              <w:ind w:right="4"/>
              <w:spacing w:after="0"/>
              <w:rPr>
                <w:sz w:val="20"/>
                <w:szCs w:val="20"/>
                <w:color w:val="auto"/>
              </w:rPr>
            </w:pPr>
            <w:r>
              <w:rPr>
                <w:rFonts w:ascii="Arial" w:cs="Arial" w:eastAsia="Arial" w:hAnsi="Arial"/>
                <w:sz w:val="15"/>
                <w:szCs w:val="15"/>
                <w:color w:val="auto"/>
              </w:rPr>
              <w:t>​ “FOR” the resolution approving the Upbound Group, Inc. 2026​</w:t>
            </w:r>
          </w:p>
        </w:tc>
      </w:tr>
      <w:tr>
        <w:trPr>
          <w:trHeight w:val="200"/>
        </w:trPr>
        <w:tc>
          <w:tcPr>
            <w:tcW w:w="100" w:type="dxa"/>
            <w:vAlign w:val="bottom"/>
            <w:tcBorders>
              <w:left w:val="single" w:sz="8" w:color="auto"/>
            </w:tcBorders>
          </w:tcPr>
          <w:p>
            <w:pPr>
              <w:spacing w:after="0"/>
              <w:rPr>
                <w:sz w:val="17"/>
                <w:szCs w:val="17"/>
                <w:color w:val="auto"/>
              </w:rPr>
            </w:pPr>
          </w:p>
        </w:tc>
        <w:tc>
          <w:tcPr>
            <w:tcW w:w="4340" w:type="dxa"/>
            <w:vAlign w:val="bottom"/>
          </w:tcPr>
          <w:p>
            <w:pPr>
              <w:ind w:left="20"/>
              <w:spacing w:after="0"/>
              <w:rPr>
                <w:sz w:val="20"/>
                <w:szCs w:val="20"/>
                <w:color w:val="auto"/>
              </w:rPr>
            </w:pPr>
            <w:r>
              <w:rPr>
                <w:rFonts w:ascii="Arial" w:cs="Arial" w:eastAsia="Arial" w:hAnsi="Arial"/>
                <w:sz w:val="15"/>
                <w:szCs w:val="15"/>
                <w:color w:val="auto"/>
              </w:rPr>
              <w:t>Incentive Plan</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Long-term Incentive Plan</w:t>
            </w:r>
          </w:p>
        </w:tc>
        <w:tc>
          <w:tcPr>
            <w:tcW w:w="120" w:type="dxa"/>
            <w:vAlign w:val="bottom"/>
            <w:tcBorders>
              <w:right w:val="single" w:sz="8" w:color="auto"/>
            </w:tcBorders>
          </w:tcPr>
          <w:p>
            <w:pPr>
              <w:spacing w:after="0"/>
              <w:rPr>
                <w:sz w:val="17"/>
                <w:szCs w:val="17"/>
                <w:color w:val="auto"/>
              </w:rPr>
            </w:pPr>
          </w:p>
        </w:tc>
      </w:tr>
      <w:tr>
        <w:trPr>
          <w:trHeight w:val="73"/>
        </w:trPr>
        <w:tc>
          <w:tcPr>
            <w:tcW w:w="100" w:type="dxa"/>
            <w:vAlign w:val="bottom"/>
            <w:tcBorders>
              <w:left w:val="single" w:sz="8" w:color="auto"/>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r>
    </w:tbl>
    <w:p>
      <w:pPr>
        <w:spacing w:after="0" w:line="121"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As of the date of this proxy statement, the Board is not aware of any other business or nominee to be presented or voted upon at the 2026 Annual Meeting. Should any other matter requiring a vote of stockholders properly arise, the proxy holders will use their discretion to vote the proxies in accordance with their best judgment in the interests of the Company. Unless otherwise stated, all shares represented by your completed, returned, and signed proxy will be voted as described above.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How do I revoke my proxy if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you are a registered stockholder, you may revoke your proxy by timely following one of the processes set forth below.</w:t>
      </w:r>
    </w:p>
    <w:p>
      <w:pPr>
        <w:spacing w:after="0" w:line="188"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100" w:type="dxa"/>
            <w:vAlign w:val="bottom"/>
            <w:tcBorders>
              <w:top w:val="single" w:sz="8" w:color="auto"/>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1860" w:type="dxa"/>
            <w:vAlign w:val="bottom"/>
            <w:tcBorders>
              <w:top w:val="single" w:sz="8" w:color="auto"/>
              <w:bottom w:val="single" w:sz="8" w:color="auto"/>
            </w:tcBorders>
            <w:shd w:val="clear" w:color="auto" w:fill="E5E5E5"/>
          </w:tcPr>
          <w:p>
            <w:pPr>
              <w:ind w:left="280"/>
              <w:spacing w:after="0"/>
              <w:rPr>
                <w:sz w:val="20"/>
                <w:szCs w:val="20"/>
                <w:color w:val="auto"/>
              </w:rPr>
            </w:pPr>
            <w:r>
              <w:rPr>
                <w:rFonts w:ascii="Arial" w:cs="Arial" w:eastAsia="Arial" w:hAnsi="Arial"/>
                <w:sz w:val="15"/>
                <w:szCs w:val="15"/>
                <w:b w:val="1"/>
                <w:bCs w:val="1"/>
                <w:color w:val="auto"/>
              </w:rPr>
              <w:t>Revocation Method</w:t>
            </w:r>
          </w:p>
        </w:tc>
        <w:tc>
          <w:tcPr>
            <w:tcW w:w="220" w:type="dxa"/>
            <w:vAlign w:val="bottom"/>
            <w:tcBorders>
              <w:top w:val="single" w:sz="8" w:color="auto"/>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15"/>
                <w:szCs w:val="15"/>
                <w:b w:val="1"/>
                <w:bCs w:val="1"/>
                <w:color w:val="auto"/>
              </w:rPr>
              <w:t>​</w:t>
            </w:r>
          </w:p>
        </w:tc>
        <w:tc>
          <w:tcPr>
            <w:tcW w:w="2220" w:type="dxa"/>
            <w:vAlign w:val="bottom"/>
            <w:tcBorders>
              <w:top w:val="single" w:sz="8" w:color="auto"/>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3600" w:type="dxa"/>
            <w:vAlign w:val="bottom"/>
            <w:tcBorders>
              <w:top w:val="single" w:sz="8" w:color="auto"/>
              <w:bottom w:val="single" w:sz="8" w:color="auto"/>
            </w:tcBorders>
            <w:shd w:val="clear" w:color="auto" w:fill="E5E5E5"/>
          </w:tcPr>
          <w:p>
            <w:pPr>
              <w:ind w:left="440"/>
              <w:spacing w:after="0"/>
              <w:rPr>
                <w:sz w:val="20"/>
                <w:szCs w:val="20"/>
                <w:color w:val="auto"/>
              </w:rPr>
            </w:pPr>
            <w:r>
              <w:rPr>
                <w:rFonts w:ascii="Arial" w:cs="Arial" w:eastAsia="Arial" w:hAnsi="Arial"/>
                <w:sz w:val="15"/>
                <w:szCs w:val="15"/>
                <w:b w:val="1"/>
                <w:bCs w:val="1"/>
                <w:color w:val="auto"/>
              </w:rPr>
              <w:t>Description of Process</w:t>
            </w:r>
          </w:p>
        </w:tc>
        <w:tc>
          <w:tcPr>
            <w:tcW w:w="1200" w:type="dxa"/>
            <w:vAlign w:val="bottom"/>
            <w:tcBorders>
              <w:top w:val="single" w:sz="8" w:color="auto"/>
              <w:bottom w:val="single" w:sz="8" w:color="auto"/>
              <w:right w:val="single" w:sz="8" w:color="auto"/>
            </w:tcBorders>
            <w:shd w:val="clear" w:color="auto" w:fill="E5E5E5"/>
          </w:tcPr>
          <w:p>
            <w:pPr>
              <w:ind w:left="1120"/>
              <w:spacing w:after="0"/>
              <w:rPr>
                <w:sz w:val="20"/>
                <w:szCs w:val="20"/>
                <w:color w:val="auto"/>
              </w:rPr>
            </w:pPr>
            <w:r>
              <w:rPr>
                <w:rFonts w:ascii="Arial" w:cs="Arial" w:eastAsia="Arial" w:hAnsi="Arial"/>
                <w:sz w:val="15"/>
                <w:szCs w:val="15"/>
                <w:b w:val="1"/>
                <w:bCs w:val="1"/>
                <w:color w:val="auto"/>
              </w:rPr>
              <w:t>​</w:t>
            </w:r>
          </w:p>
        </w:tc>
      </w:tr>
      <w:tr>
        <w:trPr>
          <w:trHeight w:val="192"/>
        </w:trPr>
        <w:tc>
          <w:tcPr>
            <w:tcW w:w="196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New Proxy Card</w:t>
            </w:r>
          </w:p>
        </w:tc>
        <w:tc>
          <w:tcPr>
            <w:tcW w:w="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70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 Deliver a signed proxy, dated later than the first one, which proxy must be received by the​</w:t>
            </w:r>
          </w:p>
        </w:tc>
      </w:tr>
      <w:tr>
        <w:trPr>
          <w:trHeight w:val="213"/>
        </w:trPr>
        <w:tc>
          <w:tcPr>
            <w:tcW w:w="100" w:type="dxa"/>
            <w:vAlign w:val="bottom"/>
            <w:tcBorders>
              <w:left w:val="single" w:sz="8" w:color="auto"/>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Company’s Corporate Secretary prior to the vote at the 2026 Annual Meeting</w:t>
            </w:r>
          </w:p>
        </w:tc>
        <w:tc>
          <w:tcPr>
            <w:tcW w:w="1200" w:type="dxa"/>
            <w:vAlign w:val="bottom"/>
            <w:tcBorders>
              <w:bottom w:val="single" w:sz="8" w:color="auto"/>
              <w:right w:val="single" w:sz="8" w:color="auto"/>
            </w:tcBorders>
          </w:tcPr>
          <w:p>
            <w:pPr>
              <w:spacing w:after="0"/>
              <w:rPr>
                <w:sz w:val="18"/>
                <w:szCs w:val="18"/>
                <w:color w:val="auto"/>
              </w:rPr>
            </w:pPr>
          </w:p>
        </w:tc>
      </w:tr>
      <w:tr>
        <w:trPr>
          <w:trHeight w:val="199"/>
        </w:trPr>
        <w:tc>
          <w:tcPr>
            <w:tcW w:w="196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New Internet/Telephone</w:t>
            </w:r>
          </w:p>
        </w:tc>
        <w:tc>
          <w:tcPr>
            <w:tcW w:w="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70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 Submit a proxy at a later time on the Internet or by telephone, if you previously voted on the Internet​</w:t>
            </w:r>
          </w:p>
        </w:tc>
      </w:tr>
      <w:tr>
        <w:trPr>
          <w:trHeight w:val="213"/>
        </w:trPr>
        <w:tc>
          <w:tcPr>
            <w:tcW w:w="100" w:type="dxa"/>
            <w:vAlign w:val="bottom"/>
            <w:tcBorders>
              <w:left w:val="single" w:sz="8" w:color="auto"/>
              <w:bottom w:val="single" w:sz="8" w:color="auto"/>
            </w:tcBorders>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Proxy</w:t>
            </w:r>
          </w:p>
        </w:tc>
        <w:tc>
          <w:tcPr>
            <w:tcW w:w="2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or by telephone, which vote must be submitted prior to the deadline set forth above</w:t>
            </w:r>
          </w:p>
        </w:tc>
        <w:tc>
          <w:tcPr>
            <w:tcW w:w="1200" w:type="dxa"/>
            <w:vAlign w:val="bottom"/>
            <w:tcBorders>
              <w:bottom w:val="single" w:sz="8" w:color="auto"/>
              <w:right w:val="single" w:sz="8" w:color="auto"/>
            </w:tcBorders>
          </w:tcPr>
          <w:p>
            <w:pPr>
              <w:spacing w:after="0"/>
              <w:rPr>
                <w:sz w:val="18"/>
                <w:szCs w:val="18"/>
                <w:color w:val="auto"/>
              </w:rPr>
            </w:pPr>
          </w:p>
        </w:tc>
      </w:tr>
      <w:tr>
        <w:trPr>
          <w:trHeight w:val="199"/>
        </w:trPr>
        <w:tc>
          <w:tcPr>
            <w:tcW w:w="196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New Vote at 2026 Annual</w:t>
            </w:r>
          </w:p>
        </w:tc>
        <w:tc>
          <w:tcPr>
            <w:tcW w:w="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70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 Attend the meeting and vote in person or by proxy (attending the meeting alone will not revoke your​</w:t>
            </w:r>
          </w:p>
        </w:tc>
      </w:tr>
      <w:tr>
        <w:trPr>
          <w:trHeight w:val="213"/>
        </w:trPr>
        <w:tc>
          <w:tcPr>
            <w:tcW w:w="100" w:type="dxa"/>
            <w:vAlign w:val="bottom"/>
            <w:tcBorders>
              <w:left w:val="single" w:sz="8" w:color="auto"/>
              <w:bottom w:val="single" w:sz="8" w:color="auto"/>
            </w:tcBorders>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Meeting</w:t>
            </w:r>
          </w:p>
        </w:tc>
        <w:tc>
          <w:tcPr>
            <w:tcW w:w="2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proxy)</w:t>
            </w:r>
          </w:p>
        </w:tc>
        <w:tc>
          <w:tcPr>
            <w:tcW w:w="36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199"/>
        </w:trPr>
        <w:tc>
          <w:tcPr>
            <w:tcW w:w="196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Written Notice to the</w:t>
            </w:r>
          </w:p>
        </w:tc>
        <w:tc>
          <w:tcPr>
            <w:tcW w:w="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70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 Deliver a signed, written revocation letter, dated later than the previously submitted proxy, to Bryan​</w:t>
            </w:r>
          </w:p>
        </w:tc>
      </w:tr>
      <w:tr>
        <w:trPr>
          <w:trHeight w:val="189"/>
        </w:trPr>
        <w:tc>
          <w:tcPr>
            <w:tcW w:w="100" w:type="dxa"/>
            <w:vAlign w:val="bottom"/>
            <w:tcBorders>
              <w:left w:val="single" w:sz="8" w:color="auto"/>
            </w:tcBorders>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5"/>
                <w:szCs w:val="15"/>
                <w:color w:val="auto"/>
              </w:rPr>
              <w:t>Company</w:t>
            </w:r>
          </w:p>
        </w:tc>
        <w:tc>
          <w:tcPr>
            <w:tcW w:w="220" w:type="dxa"/>
            <w:vAlign w:val="bottom"/>
            <w:tcBorders>
              <w:right w:val="single" w:sz="8" w:color="auto"/>
            </w:tcBorders>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5"/>
                <w:szCs w:val="15"/>
                <w:color w:val="auto"/>
              </w:rPr>
              <w:t>Pechersky,  Executive  Vice</w:t>
            </w:r>
          </w:p>
        </w:tc>
        <w:tc>
          <w:tcPr>
            <w:tcW w:w="3600" w:type="dxa"/>
            <w:vAlign w:val="bottom"/>
          </w:tcPr>
          <w:p>
            <w:pPr>
              <w:ind w:left="100"/>
              <w:spacing w:after="0"/>
              <w:rPr>
                <w:sz w:val="20"/>
                <w:szCs w:val="20"/>
                <w:color w:val="auto"/>
              </w:rPr>
            </w:pPr>
            <w:r>
              <w:rPr>
                <w:rFonts w:ascii="Arial" w:cs="Arial" w:eastAsia="Arial" w:hAnsi="Arial"/>
                <w:sz w:val="15"/>
                <w:szCs w:val="15"/>
                <w:color w:val="auto"/>
              </w:rPr>
              <w:t>President — General  Counsel  and  Corporate</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Secretary,  at</w:t>
            </w:r>
          </w:p>
        </w:tc>
      </w:tr>
      <w:tr>
        <w:trPr>
          <w:trHeight w:val="189"/>
        </w:trPr>
        <w:tc>
          <w:tcPr>
            <w:tcW w:w="100" w:type="dxa"/>
            <w:vAlign w:val="bottom"/>
            <w:tcBorders>
              <w:lef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7020" w:type="dxa"/>
            <w:vAlign w:val="bottom"/>
            <w:tcBorders>
              <w:right w:val="single" w:sz="8" w:color="auto"/>
            </w:tcBorders>
            <w:gridSpan w:val="3"/>
          </w:tcPr>
          <w:p>
            <w:pPr>
              <w:ind w:left="100"/>
              <w:spacing w:after="0"/>
              <w:rPr>
                <w:sz w:val="20"/>
                <w:szCs w:val="20"/>
                <w:color w:val="auto"/>
              </w:rPr>
            </w:pPr>
            <w:r>
              <w:rPr>
                <w:rFonts w:ascii="Arial" w:cs="Arial" w:eastAsia="Arial" w:hAnsi="Arial"/>
                <w:sz w:val="15"/>
                <w:szCs w:val="15"/>
                <w:color w:val="auto"/>
              </w:rPr>
              <w:t>5501 Headquarters Drive, Plano, TX 75024, which letter must be received by the Company on the</w:t>
            </w:r>
          </w:p>
        </w:tc>
      </w:tr>
      <w:tr>
        <w:trPr>
          <w:trHeight w:val="200"/>
        </w:trPr>
        <w:tc>
          <w:tcPr>
            <w:tcW w:w="100" w:type="dxa"/>
            <w:vAlign w:val="bottom"/>
            <w:tcBorders>
              <w:lef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820" w:type="dxa"/>
            <w:vAlign w:val="bottom"/>
            <w:gridSpan w:val="2"/>
          </w:tcPr>
          <w:p>
            <w:pPr>
              <w:ind w:left="100"/>
              <w:spacing w:after="0"/>
              <w:rPr>
                <w:sz w:val="20"/>
                <w:szCs w:val="20"/>
                <w:color w:val="auto"/>
              </w:rPr>
            </w:pPr>
            <w:r>
              <w:rPr>
                <w:rFonts w:ascii="Arial" w:cs="Arial" w:eastAsia="Arial" w:hAnsi="Arial"/>
                <w:sz w:val="15"/>
                <w:szCs w:val="15"/>
                <w:color w:val="auto"/>
              </w:rPr>
              <w:t>business day prior to the 2026 Annual Meeting</w:t>
            </w:r>
          </w:p>
        </w:tc>
        <w:tc>
          <w:tcPr>
            <w:tcW w:w="1200" w:type="dxa"/>
            <w:vAlign w:val="bottom"/>
            <w:tcBorders>
              <w:right w:val="single" w:sz="8" w:color="auto"/>
            </w:tcBorders>
          </w:tcPr>
          <w:p>
            <w:pPr>
              <w:spacing w:after="0"/>
              <w:rPr>
                <w:sz w:val="17"/>
                <w:szCs w:val="17"/>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60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bl>
    <w:p>
      <w:pPr>
        <w:spacing w:after="0" w:line="134"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If you are a street name stockholder and you submit a voting instruction form, you may change your vote by submitting new voting instructions to your bank, broker or other holder of record in accordance with the procedures of such bank, broker or other holder of record.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How many votes must each proposal receive to be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56"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The table below summarizes, for each voting item, the vote threshold required for approval, and the effect of abstentions and broker non-votes (i.e., shares held in street name that cannot be voted on certain matters by the stockholder of record if the beneficial owner has not provided voting instructions). The Board recommends a vote “FOR” each of the proposals below.</w:t>
      </w:r>
    </w:p>
    <w:p>
      <w:pPr>
        <w:spacing w:after="0" w:line="200" w:lineRule="exact"/>
        <w:rPr>
          <w:sz w:val="20"/>
          <w:szCs w:val="20"/>
          <w:color w:val="auto"/>
        </w:rPr>
      </w:pPr>
    </w:p>
    <w:p>
      <w:pPr>
        <w:spacing w:after="0" w:line="225"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b w:val="1"/>
          <w:bCs w:val="1"/>
          <w:color w:val="auto"/>
        </w:rPr>
        <w:t>6</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ind w:left="3180"/>
        <w:spacing w:after="0" w:line="296" w:lineRule="auto"/>
        <w:rPr>
          <w:sz w:val="20"/>
          <w:szCs w:val="20"/>
          <w:color w:val="auto"/>
        </w:rPr>
      </w:pPr>
      <w:r>
        <w:rPr>
          <w:rFonts w:ascii="Arial" w:cs="Arial" w:eastAsia="Arial" w:hAnsi="Arial"/>
          <w:sz w:val="16"/>
          <w:szCs w:val="16"/>
          <w:b w:val="1"/>
          <w:bCs w:val="1"/>
          <w:color w:val="auto"/>
        </w:rPr>
        <w:t>QUESTIONS AND ANSWERS ABOUT THE 2026 ANNUAL MEETING AND VOTING PROCEDURES​ ​</w:t>
      </w:r>
    </w:p>
    <w:p>
      <w:pPr>
        <w:spacing w:after="0" w:line="94" w:lineRule="exact"/>
        <w:rPr>
          <w:sz w:val="20"/>
          <w:szCs w:val="20"/>
          <w:color w:val="auto"/>
        </w:rPr>
      </w:pPr>
    </w:p>
    <w:tbl>
      <w:tblPr>
        <w:tblLayout w:type="fixed"/>
        <w:tblInd w:w="770" w:type="dxa"/>
        <w:tblCellMar>
          <w:top w:w="0" w:type="dxa"/>
          <w:left w:w="0" w:type="dxa"/>
          <w:bottom w:w="0" w:type="dxa"/>
          <w:right w:w="0" w:type="dxa"/>
        </w:tblCellMar>
      </w:tblPr>
      <w:tr>
        <w:trPr>
          <w:trHeight w:val="264"/>
        </w:trPr>
        <w:tc>
          <w:tcPr>
            <w:tcW w:w="120" w:type="dxa"/>
            <w:vAlign w:val="bottom"/>
            <w:tcBorders>
              <w:top w:val="single" w:sz="8" w:color="auto"/>
              <w:left w:val="single" w:sz="8" w:color="auto"/>
            </w:tcBorders>
            <w:shd w:val="clear" w:color="auto" w:fill="E5E5E5"/>
          </w:tcPr>
          <w:p>
            <w:pPr>
              <w:spacing w:after="0"/>
              <w:rPr>
                <w:sz w:val="22"/>
                <w:szCs w:val="22"/>
                <w:color w:val="auto"/>
              </w:rPr>
            </w:pPr>
          </w:p>
        </w:tc>
        <w:tc>
          <w:tcPr>
            <w:tcW w:w="2800" w:type="dxa"/>
            <w:vAlign w:val="bottom"/>
            <w:tcBorders>
              <w:top w:val="single" w:sz="8" w:color="auto"/>
            </w:tcBorders>
            <w:shd w:val="clear" w:color="auto" w:fill="E5E5E5"/>
          </w:tcPr>
          <w:p>
            <w:pPr>
              <w:spacing w:after="0"/>
              <w:rPr>
                <w:sz w:val="22"/>
                <w:szCs w:val="22"/>
                <w:color w:val="auto"/>
              </w:rPr>
            </w:pPr>
          </w:p>
        </w:tc>
        <w:tc>
          <w:tcPr>
            <w:tcW w:w="160" w:type="dxa"/>
            <w:vAlign w:val="bottom"/>
            <w:tcBorders>
              <w:top w:val="single" w:sz="8" w:color="auto"/>
              <w:right w:val="single" w:sz="8" w:color="auto"/>
            </w:tcBorders>
            <w:shd w:val="clear" w:color="auto" w:fill="E5E5E5"/>
          </w:tcPr>
          <w:p>
            <w:pPr>
              <w:spacing w:after="0"/>
              <w:rPr>
                <w:sz w:val="22"/>
                <w:szCs w:val="22"/>
                <w:color w:val="auto"/>
              </w:rPr>
            </w:pPr>
          </w:p>
        </w:tc>
        <w:tc>
          <w:tcPr>
            <w:tcW w:w="500" w:type="dxa"/>
            <w:vAlign w:val="bottom"/>
            <w:tcBorders>
              <w:top w:val="single" w:sz="8" w:color="auto"/>
            </w:tcBorders>
            <w:shd w:val="clear" w:color="auto" w:fill="E5E5E5"/>
          </w:tcPr>
          <w:p>
            <w:pPr>
              <w:spacing w:after="0"/>
              <w:rPr>
                <w:sz w:val="22"/>
                <w:szCs w:val="22"/>
                <w:color w:val="auto"/>
              </w:rPr>
            </w:pPr>
          </w:p>
        </w:tc>
        <w:tc>
          <w:tcPr>
            <w:tcW w:w="460" w:type="dxa"/>
            <w:vAlign w:val="bottom"/>
            <w:tcBorders>
              <w:top w:val="single" w:sz="8" w:color="auto"/>
            </w:tcBorders>
            <w:shd w:val="clear" w:color="auto" w:fill="E5E5E5"/>
          </w:tcPr>
          <w:p>
            <w:pPr>
              <w:spacing w:after="0"/>
              <w:rPr>
                <w:sz w:val="22"/>
                <w:szCs w:val="22"/>
                <w:color w:val="auto"/>
              </w:rPr>
            </w:pPr>
          </w:p>
        </w:tc>
        <w:tc>
          <w:tcPr>
            <w:tcW w:w="720" w:type="dxa"/>
            <w:vAlign w:val="bottom"/>
            <w:tcBorders>
              <w:top w:val="single" w:sz="8" w:color="auto"/>
            </w:tcBorders>
            <w:shd w:val="clear" w:color="auto" w:fill="E5E5E5"/>
          </w:tcPr>
          <w:p>
            <w:pPr>
              <w:spacing w:after="0"/>
              <w:rPr>
                <w:sz w:val="22"/>
                <w:szCs w:val="22"/>
                <w:color w:val="auto"/>
              </w:rPr>
            </w:pPr>
          </w:p>
        </w:tc>
        <w:tc>
          <w:tcPr>
            <w:tcW w:w="380" w:type="dxa"/>
            <w:vAlign w:val="bottom"/>
            <w:tcBorders>
              <w:top w:val="single" w:sz="8" w:color="auto"/>
            </w:tcBorders>
            <w:shd w:val="clear" w:color="auto" w:fill="E5E5E5"/>
          </w:tcPr>
          <w:p>
            <w:pPr>
              <w:spacing w:after="0"/>
              <w:rPr>
                <w:sz w:val="22"/>
                <w:szCs w:val="22"/>
                <w:color w:val="auto"/>
              </w:rPr>
            </w:pPr>
          </w:p>
        </w:tc>
        <w:tc>
          <w:tcPr>
            <w:tcW w:w="900" w:type="dxa"/>
            <w:vAlign w:val="bottom"/>
            <w:tcBorders>
              <w:top w:val="single" w:sz="8" w:color="auto"/>
            </w:tcBorders>
            <w:shd w:val="clear" w:color="auto" w:fill="E5E5E5"/>
          </w:tcPr>
          <w:p>
            <w:pPr>
              <w:spacing w:after="0"/>
              <w:rPr>
                <w:sz w:val="22"/>
                <w:szCs w:val="22"/>
                <w:color w:val="auto"/>
              </w:rPr>
            </w:pPr>
          </w:p>
        </w:tc>
        <w:tc>
          <w:tcPr>
            <w:tcW w:w="100" w:type="dxa"/>
            <w:vAlign w:val="bottom"/>
            <w:tcBorders>
              <w:top w:val="single" w:sz="8" w:color="auto"/>
              <w:right w:val="single" w:sz="8" w:color="auto"/>
            </w:tcBorders>
            <w:shd w:val="clear" w:color="auto" w:fill="E5E5E5"/>
          </w:tcPr>
          <w:p>
            <w:pPr>
              <w:spacing w:after="0"/>
              <w:rPr>
                <w:sz w:val="22"/>
                <w:szCs w:val="22"/>
                <w:color w:val="auto"/>
              </w:rPr>
            </w:pPr>
          </w:p>
        </w:tc>
        <w:tc>
          <w:tcPr>
            <w:tcW w:w="2700" w:type="dxa"/>
            <w:vAlign w:val="bottom"/>
            <w:tcBorders>
              <w:top w:val="single" w:sz="8" w:color="auto"/>
            </w:tcBorders>
            <w:gridSpan w:val="3"/>
            <w:shd w:val="clear" w:color="auto" w:fill="E5E5E5"/>
          </w:tcPr>
          <w:p>
            <w:pPr>
              <w:jc w:val="center"/>
              <w:ind w:left="244"/>
              <w:spacing w:after="0"/>
              <w:rPr>
                <w:sz w:val="20"/>
                <w:szCs w:val="20"/>
                <w:color w:val="auto"/>
              </w:rPr>
            </w:pPr>
            <w:r>
              <w:rPr>
                <w:rFonts w:ascii="Arial" w:cs="Arial" w:eastAsia="Arial" w:hAnsi="Arial"/>
                <w:sz w:val="15"/>
                <w:szCs w:val="15"/>
                <w:b w:val="1"/>
                <w:bCs w:val="1"/>
                <w:color w:val="auto"/>
              </w:rPr>
              <w:t>Impact of Broker Non-Votes and</w:t>
            </w:r>
          </w:p>
        </w:tc>
        <w:tc>
          <w:tcPr>
            <w:tcW w:w="360" w:type="dxa"/>
            <w:vAlign w:val="bottom"/>
            <w:tcBorders>
              <w:top w:val="single" w:sz="8" w:color="auto"/>
              <w:right w:val="single" w:sz="8" w:color="auto"/>
            </w:tcBorders>
            <w:shd w:val="clear" w:color="auto" w:fill="E5E5E5"/>
          </w:tcPr>
          <w:p>
            <w:pPr>
              <w:spacing w:after="0"/>
              <w:rPr>
                <w:sz w:val="22"/>
                <w:szCs w:val="22"/>
                <w:color w:val="auto"/>
              </w:rPr>
            </w:pPr>
          </w:p>
        </w:tc>
      </w:tr>
      <w:tr>
        <w:trPr>
          <w:trHeight w:val="222"/>
        </w:trPr>
        <w:tc>
          <w:tcPr>
            <w:tcW w:w="120" w:type="dxa"/>
            <w:vAlign w:val="bottom"/>
            <w:tcBorders>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2800" w:type="dxa"/>
            <w:vAlign w:val="bottom"/>
            <w:tcBorders>
              <w:bottom w:val="single" w:sz="8" w:color="auto"/>
            </w:tcBorders>
            <w:shd w:val="clear" w:color="auto" w:fill="E5E5E5"/>
          </w:tcPr>
          <w:p>
            <w:pPr>
              <w:ind w:left="1100"/>
              <w:spacing w:after="0"/>
              <w:rPr>
                <w:sz w:val="20"/>
                <w:szCs w:val="20"/>
                <w:color w:val="auto"/>
              </w:rPr>
            </w:pPr>
            <w:r>
              <w:rPr>
                <w:rFonts w:ascii="Arial" w:cs="Arial" w:eastAsia="Arial" w:hAnsi="Arial"/>
                <w:sz w:val="15"/>
                <w:szCs w:val="15"/>
                <w:b w:val="1"/>
                <w:bCs w:val="1"/>
                <w:color w:val="auto"/>
              </w:rPr>
              <w:t>Proposal</w:t>
            </w:r>
          </w:p>
        </w:tc>
        <w:tc>
          <w:tcPr>
            <w:tcW w:w="160" w:type="dxa"/>
            <w:vAlign w:val="bottom"/>
            <w:tcBorders>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2460" w:type="dxa"/>
            <w:vAlign w:val="bottom"/>
            <w:tcBorders>
              <w:bottom w:val="single" w:sz="8" w:color="auto"/>
            </w:tcBorders>
            <w:gridSpan w:val="4"/>
            <w:shd w:val="clear" w:color="auto" w:fill="E5E5E5"/>
          </w:tcPr>
          <w:p>
            <w:pPr>
              <w:jc w:val="right"/>
              <w:ind w:right="384"/>
              <w:spacing w:after="0"/>
              <w:rPr>
                <w:sz w:val="20"/>
                <w:szCs w:val="20"/>
                <w:color w:val="auto"/>
              </w:rPr>
            </w:pPr>
            <w:r>
              <w:rPr>
                <w:rFonts w:ascii="Arial" w:cs="Arial" w:eastAsia="Arial" w:hAnsi="Arial"/>
                <w:sz w:val="15"/>
                <w:szCs w:val="15"/>
                <w:b w:val="1"/>
                <w:bCs w:val="1"/>
                <w:color w:val="auto"/>
              </w:rPr>
              <w:t>Required Vote for Approval</w:t>
            </w:r>
          </w:p>
        </w:tc>
        <w:tc>
          <w:tcPr>
            <w:tcW w:w="1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auto"/>
            </w:tcBorders>
            <w:shd w:val="clear" w:color="auto" w:fill="E5E5E5"/>
          </w:tcPr>
          <w:p>
            <w:pPr>
              <w:jc w:val="center"/>
              <w:ind w:left="264"/>
              <w:spacing w:after="0"/>
              <w:rPr>
                <w:sz w:val="20"/>
                <w:szCs w:val="20"/>
                <w:color w:val="auto"/>
              </w:rPr>
            </w:pPr>
            <w:r>
              <w:rPr>
                <w:rFonts w:ascii="Arial" w:cs="Arial" w:eastAsia="Arial" w:hAnsi="Arial"/>
                <w:sz w:val="15"/>
                <w:szCs w:val="15"/>
                <w:b w:val="1"/>
                <w:bCs w:val="1"/>
                <w:color w:val="auto"/>
              </w:rPr>
              <w:t>Abstentions</w:t>
            </w:r>
          </w:p>
        </w:tc>
        <w:tc>
          <w:tcPr>
            <w:tcW w:w="640" w:type="dxa"/>
            <w:vAlign w:val="bottom"/>
            <w:tcBorders>
              <w:bottom w:val="single" w:sz="8" w:color="auto"/>
            </w:tcBorders>
            <w:shd w:val="clear" w:color="auto" w:fill="E5E5E5"/>
          </w:tcPr>
          <w:p>
            <w:pPr>
              <w:spacing w:after="0"/>
              <w:rPr>
                <w:sz w:val="19"/>
                <w:szCs w:val="19"/>
                <w:color w:val="auto"/>
              </w:rPr>
            </w:pPr>
          </w:p>
        </w:tc>
        <w:tc>
          <w:tcPr>
            <w:tcW w:w="36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r>
      <w:tr>
        <w:trPr>
          <w:trHeight w:val="192"/>
        </w:trPr>
        <w:tc>
          <w:tcPr>
            <w:tcW w:w="292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One: Election of Directors</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2060" w:type="dxa"/>
            <w:vAlign w:val="bottom"/>
            <w:gridSpan w:val="4"/>
          </w:tcPr>
          <w:p>
            <w:pPr>
              <w:spacing w:after="0"/>
              <w:rPr>
                <w:sz w:val="20"/>
                <w:szCs w:val="20"/>
                <w:color w:val="auto"/>
              </w:rPr>
            </w:pPr>
            <w:r>
              <w:rPr>
                <w:rFonts w:ascii="Arial" w:cs="Arial" w:eastAsia="Arial" w:hAnsi="Arial"/>
                <w:sz w:val="15"/>
                <w:szCs w:val="15"/>
                <w:color w:val="auto"/>
              </w:rPr>
              <w:t>​ Under our bylaws, directors</w:t>
            </w:r>
          </w:p>
        </w:tc>
        <w:tc>
          <w:tcPr>
            <w:tcW w:w="1000" w:type="dxa"/>
            <w:vAlign w:val="bottom"/>
            <w:tcBorders>
              <w:right w:val="single" w:sz="8" w:color="auto"/>
            </w:tcBorders>
            <w:gridSpan w:val="2"/>
          </w:tcPr>
          <w:p>
            <w:pPr>
              <w:jc w:val="right"/>
              <w:ind w:right="4"/>
              <w:spacing w:after="0"/>
              <w:rPr>
                <w:sz w:val="20"/>
                <w:szCs w:val="20"/>
                <w:color w:val="auto"/>
              </w:rPr>
            </w:pPr>
            <w:r>
              <w:rPr>
                <w:rFonts w:ascii="Arial" w:cs="Arial" w:eastAsia="Arial" w:hAnsi="Arial"/>
                <w:sz w:val="15"/>
                <w:szCs w:val="15"/>
                <w:color w:val="auto"/>
              </w:rPr>
              <w:t>are elected​</w:t>
            </w:r>
          </w:p>
        </w:tc>
        <w:tc>
          <w:tcPr>
            <w:tcW w:w="306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 Broker non-votes and abstentions will not​</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by  a  majority  of  the  votes  cast  in</w:t>
            </w:r>
          </w:p>
        </w:tc>
        <w:tc>
          <w:tcPr>
            <w:tcW w:w="100" w:type="dxa"/>
            <w:vAlign w:val="bottom"/>
            <w:tcBorders>
              <w:right w:val="single" w:sz="8" w:color="auto"/>
            </w:tcBorders>
          </w:tcPr>
          <w:p>
            <w:pPr>
              <w:spacing w:after="0"/>
              <w:rPr>
                <w:sz w:val="16"/>
                <w:szCs w:val="16"/>
                <w:color w:val="auto"/>
              </w:rPr>
            </w:pPr>
          </w:p>
        </w:tc>
        <w:tc>
          <w:tcPr>
            <w:tcW w:w="2700" w:type="dxa"/>
            <w:vAlign w:val="bottom"/>
            <w:gridSpan w:val="3"/>
          </w:tcPr>
          <w:p>
            <w:pPr>
              <w:ind w:left="80"/>
              <w:spacing w:after="0"/>
              <w:rPr>
                <w:sz w:val="20"/>
                <w:szCs w:val="20"/>
                <w:color w:val="auto"/>
              </w:rPr>
            </w:pPr>
            <w:r>
              <w:rPr>
                <w:rFonts w:ascii="Arial" w:cs="Arial" w:eastAsia="Arial" w:hAnsi="Arial"/>
                <w:sz w:val="15"/>
                <w:szCs w:val="15"/>
                <w:color w:val="auto"/>
              </w:rPr>
              <w:t>affect the outcome of the vote.</w:t>
            </w: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5"/>
                <w:szCs w:val="15"/>
                <w:color w:val="auto"/>
              </w:rPr>
              <w:t>uncontested</w:t>
            </w:r>
          </w:p>
        </w:tc>
        <w:tc>
          <w:tcPr>
            <w:tcW w:w="720" w:type="dxa"/>
            <w:vAlign w:val="bottom"/>
          </w:tcPr>
          <w:p>
            <w:pPr>
              <w:ind w:left="80"/>
              <w:spacing w:after="0"/>
              <w:rPr>
                <w:sz w:val="20"/>
                <w:szCs w:val="20"/>
                <w:color w:val="auto"/>
              </w:rPr>
            </w:pPr>
            <w:r>
              <w:rPr>
                <w:rFonts w:ascii="Arial" w:cs="Arial" w:eastAsia="Arial" w:hAnsi="Arial"/>
                <w:sz w:val="15"/>
                <w:szCs w:val="15"/>
                <w:color w:val="auto"/>
                <w:w w:val="97"/>
              </w:rPr>
              <w:t>elections.</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Accordingly,  the</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numbers of votes cast “for” a director</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nominee  must  exceed  the  number  of</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5"/>
                <w:szCs w:val="15"/>
                <w:color w:val="auto"/>
              </w:rPr>
              <w:t>votes</w:t>
            </w:r>
          </w:p>
        </w:tc>
        <w:tc>
          <w:tcPr>
            <w:tcW w:w="460" w:type="dxa"/>
            <w:vAlign w:val="bottom"/>
          </w:tcPr>
          <w:p>
            <w:pPr>
              <w:ind w:left="80"/>
              <w:spacing w:after="0"/>
              <w:rPr>
                <w:sz w:val="20"/>
                <w:szCs w:val="20"/>
                <w:color w:val="auto"/>
              </w:rPr>
            </w:pPr>
            <w:r>
              <w:rPr>
                <w:rFonts w:ascii="Arial" w:cs="Arial" w:eastAsia="Arial" w:hAnsi="Arial"/>
                <w:sz w:val="15"/>
                <w:szCs w:val="15"/>
                <w:color w:val="auto"/>
              </w:rPr>
              <w:t>cast</w:t>
            </w:r>
          </w:p>
        </w:tc>
        <w:tc>
          <w:tcPr>
            <w:tcW w:w="720" w:type="dxa"/>
            <w:vAlign w:val="bottom"/>
          </w:tcPr>
          <w:p>
            <w:pPr>
              <w:ind w:left="20"/>
              <w:spacing w:after="0"/>
              <w:rPr>
                <w:sz w:val="20"/>
                <w:szCs w:val="20"/>
                <w:color w:val="auto"/>
              </w:rPr>
            </w:pPr>
            <w:r>
              <w:rPr>
                <w:rFonts w:ascii="Arial" w:cs="Arial" w:eastAsia="Arial" w:hAnsi="Arial"/>
                <w:sz w:val="15"/>
                <w:szCs w:val="15"/>
                <w:color w:val="auto"/>
              </w:rPr>
              <w:t>“against”</w:t>
            </w:r>
          </w:p>
        </w:tc>
        <w:tc>
          <w:tcPr>
            <w:tcW w:w="380" w:type="dxa"/>
            <w:vAlign w:val="bottom"/>
          </w:tcPr>
          <w:p>
            <w:pPr>
              <w:ind w:left="20"/>
              <w:spacing w:after="0"/>
              <w:rPr>
                <w:sz w:val="20"/>
                <w:szCs w:val="20"/>
                <w:color w:val="auto"/>
              </w:rPr>
            </w:pPr>
            <w:r>
              <w:rPr>
                <w:rFonts w:ascii="Arial" w:cs="Arial" w:eastAsia="Arial" w:hAnsi="Arial"/>
                <w:sz w:val="15"/>
                <w:szCs w:val="15"/>
                <w:color w:val="auto"/>
              </w:rPr>
              <w:t>that</w:t>
            </w:r>
          </w:p>
        </w:tc>
        <w:tc>
          <w:tcPr>
            <w:tcW w:w="900" w:type="dxa"/>
            <w:vAlign w:val="bottom"/>
          </w:tcPr>
          <w:p>
            <w:pPr>
              <w:jc w:val="right"/>
              <w:spacing w:after="0"/>
              <w:rPr>
                <w:sz w:val="20"/>
                <w:szCs w:val="20"/>
                <w:color w:val="auto"/>
              </w:rPr>
            </w:pPr>
            <w:r>
              <w:rPr>
                <w:rFonts w:ascii="Arial" w:cs="Arial" w:eastAsia="Arial" w:hAnsi="Arial"/>
                <w:sz w:val="15"/>
                <w:szCs w:val="15"/>
                <w:color w:val="auto"/>
              </w:rPr>
              <w:t>nominee.  In</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contested  elections,  the  vote  standard</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would be a plurality of votes cast. Each</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share  may  be  voted  for  each  of  the</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nominees, but no share may be voted</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more  than  once  for  any  particular</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213"/>
        </w:trPr>
        <w:tc>
          <w:tcPr>
            <w:tcW w:w="12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nominee.</w:t>
            </w: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199"/>
        </w:trPr>
        <w:tc>
          <w:tcPr>
            <w:tcW w:w="292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Two: Ratification of the Audit &amp; Risk</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60" w:type="dxa"/>
            <w:vAlign w:val="bottom"/>
            <w:tcBorders>
              <w:right w:val="single" w:sz="8" w:color="auto"/>
            </w:tcBorders>
            <w:gridSpan w:val="6"/>
          </w:tcPr>
          <w:p>
            <w:pPr>
              <w:jc w:val="right"/>
              <w:ind w:right="4"/>
              <w:spacing w:after="0"/>
              <w:rPr>
                <w:sz w:val="20"/>
                <w:szCs w:val="20"/>
                <w:color w:val="auto"/>
              </w:rPr>
            </w:pPr>
            <w:r>
              <w:rPr>
                <w:rFonts w:ascii="Arial" w:cs="Arial" w:eastAsia="Arial" w:hAnsi="Arial"/>
                <w:sz w:val="15"/>
                <w:szCs w:val="15"/>
                <w:color w:val="auto"/>
              </w:rPr>
              <w:t>​ A majority of the votes cast is required to​</w:t>
            </w:r>
          </w:p>
        </w:tc>
        <w:tc>
          <w:tcPr>
            <w:tcW w:w="620" w:type="dxa"/>
            <w:vAlign w:val="bottom"/>
          </w:tcPr>
          <w:p>
            <w:pPr>
              <w:spacing w:after="0"/>
              <w:rPr>
                <w:sz w:val="20"/>
                <w:szCs w:val="20"/>
                <w:color w:val="auto"/>
              </w:rPr>
            </w:pPr>
            <w:r>
              <w:rPr>
                <w:rFonts w:ascii="Arial" w:cs="Arial" w:eastAsia="Arial" w:hAnsi="Arial"/>
                <w:sz w:val="15"/>
                <w:szCs w:val="15"/>
                <w:color w:val="auto"/>
              </w:rPr>
              <w:t>​ Certain</w:t>
            </w:r>
          </w:p>
        </w:tc>
        <w:tc>
          <w:tcPr>
            <w:tcW w:w="1440" w:type="dxa"/>
            <w:vAlign w:val="bottom"/>
          </w:tcPr>
          <w:p>
            <w:pPr>
              <w:ind w:left="180"/>
              <w:spacing w:after="0"/>
              <w:rPr>
                <w:sz w:val="20"/>
                <w:szCs w:val="20"/>
                <w:color w:val="auto"/>
              </w:rPr>
            </w:pPr>
            <w:r>
              <w:rPr>
                <w:rFonts w:ascii="Arial" w:cs="Arial" w:eastAsia="Arial" w:hAnsi="Arial"/>
                <w:sz w:val="15"/>
                <w:szCs w:val="15"/>
                <w:color w:val="auto"/>
              </w:rPr>
              <w:t>brokers   have</w:t>
            </w:r>
          </w:p>
        </w:tc>
        <w:tc>
          <w:tcPr>
            <w:tcW w:w="1000" w:type="dxa"/>
            <w:vAlign w:val="bottom"/>
            <w:tcBorders>
              <w:right w:val="single" w:sz="8" w:color="auto"/>
            </w:tcBorders>
            <w:gridSpan w:val="2"/>
          </w:tcPr>
          <w:p>
            <w:pPr>
              <w:jc w:val="right"/>
              <w:ind w:right="4"/>
              <w:spacing w:after="0"/>
              <w:rPr>
                <w:sz w:val="20"/>
                <w:szCs w:val="20"/>
                <w:color w:val="auto"/>
              </w:rPr>
            </w:pPr>
            <w:r>
              <w:rPr>
                <w:rFonts w:ascii="Arial" w:cs="Arial" w:eastAsia="Arial" w:hAnsi="Arial"/>
                <w:sz w:val="15"/>
                <w:szCs w:val="15"/>
                <w:color w:val="auto"/>
              </w:rPr>
              <w:t>discretionary​</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Committee’s Selection of Deloitte &amp;</w:t>
            </w: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ratify  Deloitte  &amp;  Touche  LLP  as  our</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authority  in  the  absence  of  timely</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Touche LLP</w:t>
            </w: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independent registered public accounting</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instructions from their customers to vote</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5"/>
                <w:szCs w:val="15"/>
                <w:color w:val="auto"/>
              </w:rPr>
              <w:t>firm.</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on  this  proposal.  Abstentions  will  not</w:t>
            </w:r>
          </w:p>
        </w:tc>
      </w:tr>
      <w:tr>
        <w:trPr>
          <w:trHeight w:val="213"/>
        </w:trPr>
        <w:tc>
          <w:tcPr>
            <w:tcW w:w="12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color w:val="auto"/>
              </w:rPr>
              <w:t>affect the outcome of the vote.</w:t>
            </w:r>
          </w:p>
        </w:tc>
        <w:tc>
          <w:tcPr>
            <w:tcW w:w="360" w:type="dxa"/>
            <w:vAlign w:val="bottom"/>
            <w:tcBorders>
              <w:bottom w:val="single" w:sz="8" w:color="auto"/>
              <w:right w:val="single" w:sz="8" w:color="auto"/>
            </w:tcBorders>
          </w:tcPr>
          <w:p>
            <w:pPr>
              <w:spacing w:after="0"/>
              <w:rPr>
                <w:sz w:val="18"/>
                <w:szCs w:val="18"/>
                <w:color w:val="auto"/>
              </w:rPr>
            </w:pPr>
          </w:p>
        </w:tc>
      </w:tr>
      <w:tr>
        <w:trPr>
          <w:trHeight w:val="199"/>
        </w:trPr>
        <w:tc>
          <w:tcPr>
            <w:tcW w:w="292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Three: Advisory Vote on Executive</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60" w:type="dxa"/>
            <w:vAlign w:val="bottom"/>
            <w:tcBorders>
              <w:right w:val="single" w:sz="8" w:color="auto"/>
            </w:tcBorders>
            <w:gridSpan w:val="6"/>
          </w:tcPr>
          <w:p>
            <w:pPr>
              <w:jc w:val="right"/>
              <w:ind w:right="4"/>
              <w:spacing w:after="0"/>
              <w:rPr>
                <w:sz w:val="20"/>
                <w:szCs w:val="20"/>
                <w:color w:val="auto"/>
              </w:rPr>
            </w:pPr>
            <w:r>
              <w:rPr>
                <w:rFonts w:ascii="Arial" w:cs="Arial" w:eastAsia="Arial" w:hAnsi="Arial"/>
                <w:sz w:val="15"/>
                <w:szCs w:val="15"/>
                <w:color w:val="auto"/>
              </w:rPr>
              <w:t>​ The affirmative vote of the holders of a​</w:t>
            </w:r>
          </w:p>
        </w:tc>
        <w:tc>
          <w:tcPr>
            <w:tcW w:w="620" w:type="dxa"/>
            <w:vAlign w:val="bottom"/>
          </w:tcPr>
          <w:p>
            <w:pPr>
              <w:spacing w:after="0"/>
              <w:rPr>
                <w:sz w:val="20"/>
                <w:szCs w:val="20"/>
                <w:color w:val="auto"/>
              </w:rPr>
            </w:pPr>
            <w:r>
              <w:rPr>
                <w:rFonts w:ascii="Arial" w:cs="Arial" w:eastAsia="Arial" w:hAnsi="Arial"/>
                <w:sz w:val="15"/>
                <w:szCs w:val="15"/>
                <w:color w:val="auto"/>
              </w:rPr>
              <w:t>​ Broker</w:t>
            </w:r>
          </w:p>
        </w:tc>
        <w:tc>
          <w:tcPr>
            <w:tcW w:w="1440" w:type="dxa"/>
            <w:vAlign w:val="bottom"/>
          </w:tcPr>
          <w:p>
            <w:pPr>
              <w:ind w:left="60"/>
              <w:spacing w:after="0"/>
              <w:rPr>
                <w:sz w:val="20"/>
                <w:szCs w:val="20"/>
                <w:color w:val="auto"/>
              </w:rPr>
            </w:pPr>
            <w:r>
              <w:rPr>
                <w:rFonts w:ascii="Arial" w:cs="Arial" w:eastAsia="Arial" w:hAnsi="Arial"/>
                <w:sz w:val="15"/>
                <w:szCs w:val="15"/>
                <w:color w:val="auto"/>
              </w:rPr>
              <w:t>non-votes  will  not</w:t>
            </w:r>
          </w:p>
        </w:tc>
        <w:tc>
          <w:tcPr>
            <w:tcW w:w="640" w:type="dxa"/>
            <w:vAlign w:val="bottom"/>
          </w:tcPr>
          <w:p>
            <w:pPr>
              <w:ind w:left="140"/>
              <w:spacing w:after="0"/>
              <w:rPr>
                <w:sz w:val="20"/>
                <w:szCs w:val="20"/>
                <w:color w:val="auto"/>
              </w:rPr>
            </w:pPr>
            <w:r>
              <w:rPr>
                <w:rFonts w:ascii="Arial" w:cs="Arial" w:eastAsia="Arial" w:hAnsi="Arial"/>
                <w:sz w:val="15"/>
                <w:szCs w:val="15"/>
                <w:color w:val="auto"/>
              </w:rPr>
              <w:t>affect</w:t>
            </w:r>
          </w:p>
        </w:tc>
        <w:tc>
          <w:tcPr>
            <w:tcW w:w="360" w:type="dxa"/>
            <w:vAlign w:val="bottom"/>
            <w:tcBorders>
              <w:right w:val="single" w:sz="8" w:color="auto"/>
            </w:tcBorders>
          </w:tcPr>
          <w:p>
            <w:pPr>
              <w:jc w:val="right"/>
              <w:ind w:right="4"/>
              <w:spacing w:after="0"/>
              <w:rPr>
                <w:sz w:val="20"/>
                <w:szCs w:val="20"/>
                <w:color w:val="auto"/>
              </w:rPr>
            </w:pPr>
            <w:r>
              <w:rPr>
                <w:rFonts w:ascii="Arial" w:cs="Arial" w:eastAsia="Arial" w:hAnsi="Arial"/>
                <w:sz w:val="15"/>
                <w:szCs w:val="15"/>
                <w:color w:val="auto"/>
              </w:rPr>
              <w:t>the​</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Compensation</w:t>
            </w: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majority in voting power of the shares of</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outcome of the vote. Because abstentions</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common stock present or represented by</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are  counted  as  shares  present  and</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proxy  and  entitled  to  vote  thereon  is</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entitled to vote on the proposal, each</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required   to   approve   the   advisory</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abstention will have the same effect as a</w:t>
            </w:r>
          </w:p>
        </w:tc>
      </w:tr>
      <w:tr>
        <w:trPr>
          <w:trHeight w:val="213"/>
        </w:trPr>
        <w:tc>
          <w:tcPr>
            <w:tcW w:w="12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00"/>
              <w:spacing w:after="0"/>
              <w:rPr>
                <w:sz w:val="20"/>
                <w:szCs w:val="20"/>
                <w:color w:val="auto"/>
              </w:rPr>
            </w:pPr>
            <w:r>
              <w:rPr>
                <w:rFonts w:ascii="Arial" w:cs="Arial" w:eastAsia="Arial" w:hAnsi="Arial"/>
                <w:sz w:val="15"/>
                <w:szCs w:val="15"/>
                <w:color w:val="auto"/>
              </w:rPr>
              <w:t>resolution on executive compensation.</w:t>
            </w:r>
          </w:p>
        </w:tc>
        <w:tc>
          <w:tcPr>
            <w:tcW w:w="1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auto"/>
              </w:rPr>
              <w:t>vote “against” this proposal.</w:t>
            </w: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199"/>
        </w:trPr>
        <w:tc>
          <w:tcPr>
            <w:tcW w:w="292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Four: Advisory Vote on the Frequency of</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60" w:type="dxa"/>
            <w:vAlign w:val="bottom"/>
            <w:tcBorders>
              <w:right w:val="single" w:sz="8" w:color="auto"/>
            </w:tcBorders>
            <w:gridSpan w:val="6"/>
          </w:tcPr>
          <w:p>
            <w:pPr>
              <w:jc w:val="right"/>
              <w:ind w:right="4"/>
              <w:spacing w:after="0"/>
              <w:rPr>
                <w:sz w:val="20"/>
                <w:szCs w:val="20"/>
                <w:color w:val="auto"/>
              </w:rPr>
            </w:pPr>
            <w:r>
              <w:rPr>
                <w:rFonts w:ascii="Arial" w:cs="Arial" w:eastAsia="Arial" w:hAnsi="Arial"/>
                <w:sz w:val="15"/>
                <w:szCs w:val="15"/>
                <w:color w:val="auto"/>
              </w:rPr>
              <w:t>​ The affirmative vote of the holders of a​</w:t>
            </w:r>
          </w:p>
        </w:tc>
        <w:tc>
          <w:tcPr>
            <w:tcW w:w="620" w:type="dxa"/>
            <w:vAlign w:val="bottom"/>
          </w:tcPr>
          <w:p>
            <w:pPr>
              <w:spacing w:after="0"/>
              <w:rPr>
                <w:sz w:val="20"/>
                <w:szCs w:val="20"/>
                <w:color w:val="auto"/>
              </w:rPr>
            </w:pPr>
            <w:r>
              <w:rPr>
                <w:rFonts w:ascii="Arial" w:cs="Arial" w:eastAsia="Arial" w:hAnsi="Arial"/>
                <w:sz w:val="15"/>
                <w:szCs w:val="15"/>
                <w:color w:val="auto"/>
              </w:rPr>
              <w:t>​ Broker</w:t>
            </w:r>
          </w:p>
        </w:tc>
        <w:tc>
          <w:tcPr>
            <w:tcW w:w="1440" w:type="dxa"/>
            <w:vAlign w:val="bottom"/>
          </w:tcPr>
          <w:p>
            <w:pPr>
              <w:ind w:left="60"/>
              <w:spacing w:after="0"/>
              <w:rPr>
                <w:sz w:val="20"/>
                <w:szCs w:val="20"/>
                <w:color w:val="auto"/>
              </w:rPr>
            </w:pPr>
            <w:r>
              <w:rPr>
                <w:rFonts w:ascii="Arial" w:cs="Arial" w:eastAsia="Arial" w:hAnsi="Arial"/>
                <w:sz w:val="15"/>
                <w:szCs w:val="15"/>
                <w:color w:val="auto"/>
              </w:rPr>
              <w:t>non-votes  will  not</w:t>
            </w:r>
          </w:p>
        </w:tc>
        <w:tc>
          <w:tcPr>
            <w:tcW w:w="640" w:type="dxa"/>
            <w:vAlign w:val="bottom"/>
          </w:tcPr>
          <w:p>
            <w:pPr>
              <w:ind w:left="140"/>
              <w:spacing w:after="0"/>
              <w:rPr>
                <w:sz w:val="20"/>
                <w:szCs w:val="20"/>
                <w:color w:val="auto"/>
              </w:rPr>
            </w:pPr>
            <w:r>
              <w:rPr>
                <w:rFonts w:ascii="Arial" w:cs="Arial" w:eastAsia="Arial" w:hAnsi="Arial"/>
                <w:sz w:val="15"/>
                <w:szCs w:val="15"/>
                <w:color w:val="auto"/>
              </w:rPr>
              <w:t>affect</w:t>
            </w:r>
          </w:p>
        </w:tc>
        <w:tc>
          <w:tcPr>
            <w:tcW w:w="360" w:type="dxa"/>
            <w:vAlign w:val="bottom"/>
            <w:tcBorders>
              <w:right w:val="single" w:sz="8" w:color="auto"/>
            </w:tcBorders>
          </w:tcPr>
          <w:p>
            <w:pPr>
              <w:jc w:val="right"/>
              <w:ind w:right="4"/>
              <w:spacing w:after="0"/>
              <w:rPr>
                <w:sz w:val="20"/>
                <w:szCs w:val="20"/>
                <w:color w:val="auto"/>
              </w:rPr>
            </w:pPr>
            <w:r>
              <w:rPr>
                <w:rFonts w:ascii="Arial" w:cs="Arial" w:eastAsia="Arial" w:hAnsi="Arial"/>
                <w:sz w:val="15"/>
                <w:szCs w:val="15"/>
                <w:color w:val="auto"/>
              </w:rPr>
              <w:t>the​</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Future Advisory Votes on Executive</w:t>
            </w: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majority in voting power of the shares of</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outcome of the vote. Because abstentions</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Compensation</w:t>
            </w: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common stock present or represented by</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are  counted  as  shares  present  and</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proxy  and  entitled  to  vote  thereon  is</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entitled to vote on the proposal, each</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required   to   approve   the   advisory</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abstention will have the same effect as a</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resolution  on  the  frequency  for  future</w:t>
            </w:r>
          </w:p>
        </w:tc>
        <w:tc>
          <w:tcPr>
            <w:tcW w:w="100" w:type="dxa"/>
            <w:vAlign w:val="bottom"/>
            <w:tcBorders>
              <w:right w:val="single" w:sz="8" w:color="auto"/>
            </w:tcBorders>
          </w:tcPr>
          <w:p>
            <w:pPr>
              <w:spacing w:after="0"/>
              <w:rPr>
                <w:sz w:val="16"/>
                <w:szCs w:val="16"/>
                <w:color w:val="auto"/>
              </w:rPr>
            </w:pPr>
          </w:p>
        </w:tc>
        <w:tc>
          <w:tcPr>
            <w:tcW w:w="2060" w:type="dxa"/>
            <w:vAlign w:val="bottom"/>
            <w:gridSpan w:val="2"/>
          </w:tcPr>
          <w:p>
            <w:pPr>
              <w:ind w:left="80"/>
              <w:spacing w:after="0"/>
              <w:rPr>
                <w:sz w:val="20"/>
                <w:szCs w:val="20"/>
                <w:color w:val="auto"/>
              </w:rPr>
            </w:pPr>
            <w:r>
              <w:rPr>
                <w:rFonts w:ascii="Arial" w:cs="Arial" w:eastAsia="Arial" w:hAnsi="Arial"/>
                <w:sz w:val="15"/>
                <w:szCs w:val="15"/>
                <w:color w:val="auto"/>
              </w:rPr>
              <w:t>vote “against” this proposal.</w:t>
            </w: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5"/>
                <w:szCs w:val="15"/>
                <w:color w:val="auto"/>
              </w:rPr>
              <w:t>advisory</w:t>
            </w:r>
          </w:p>
        </w:tc>
        <w:tc>
          <w:tcPr>
            <w:tcW w:w="720" w:type="dxa"/>
            <w:vAlign w:val="bottom"/>
          </w:tcPr>
          <w:p>
            <w:pPr>
              <w:ind w:left="60"/>
              <w:spacing w:after="0"/>
              <w:rPr>
                <w:sz w:val="20"/>
                <w:szCs w:val="20"/>
                <w:color w:val="auto"/>
              </w:rPr>
            </w:pPr>
            <w:r>
              <w:rPr>
                <w:rFonts w:ascii="Arial" w:cs="Arial" w:eastAsia="Arial" w:hAnsi="Arial"/>
                <w:sz w:val="15"/>
                <w:szCs w:val="15"/>
                <w:color w:val="auto"/>
              </w:rPr>
              <w:t>votes</w:t>
            </w:r>
          </w:p>
        </w:tc>
        <w:tc>
          <w:tcPr>
            <w:tcW w:w="380" w:type="dxa"/>
            <w:vAlign w:val="bottom"/>
          </w:tcPr>
          <w:p>
            <w:pPr>
              <w:ind w:left="80"/>
              <w:spacing w:after="0"/>
              <w:rPr>
                <w:sz w:val="20"/>
                <w:szCs w:val="20"/>
                <w:color w:val="auto"/>
              </w:rPr>
            </w:pPr>
            <w:r>
              <w:rPr>
                <w:rFonts w:ascii="Arial" w:cs="Arial" w:eastAsia="Arial" w:hAnsi="Arial"/>
                <w:sz w:val="15"/>
                <w:szCs w:val="15"/>
                <w:color w:val="auto"/>
              </w:rPr>
              <w:t>on</w:t>
            </w:r>
          </w:p>
        </w:tc>
        <w:tc>
          <w:tcPr>
            <w:tcW w:w="900" w:type="dxa"/>
            <w:vAlign w:val="bottom"/>
          </w:tcPr>
          <w:p>
            <w:pPr>
              <w:jc w:val="right"/>
              <w:spacing w:after="0"/>
              <w:rPr>
                <w:sz w:val="20"/>
                <w:szCs w:val="20"/>
                <w:color w:val="auto"/>
              </w:rPr>
            </w:pPr>
            <w:r>
              <w:rPr>
                <w:rFonts w:ascii="Arial" w:cs="Arial" w:eastAsia="Arial" w:hAnsi="Arial"/>
                <w:sz w:val="15"/>
                <w:szCs w:val="15"/>
                <w:color w:val="auto"/>
              </w:rPr>
              <w:t>executive</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compensation. In the event that no option</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receives a majority of the votes cast, the</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Board will consider the option of one year,</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two years or three years that receives the</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most votes at the 2026 Annual Meeting</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as  the  recommended  choice  of  the</w:t>
            </w:r>
          </w:p>
        </w:tc>
        <w:tc>
          <w:tcPr>
            <w:tcW w:w="1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r>
      <w:tr>
        <w:trPr>
          <w:trHeight w:val="213"/>
        </w:trPr>
        <w:tc>
          <w:tcPr>
            <w:tcW w:w="12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color w:val="auto"/>
              </w:rPr>
              <w:t>Company’s stockholders.</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199"/>
        </w:trPr>
        <w:tc>
          <w:tcPr>
            <w:tcW w:w="292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color w:val="auto"/>
              </w:rPr>
              <w:t>​ Five: Approval of the Upbound Group,</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60" w:type="dxa"/>
            <w:vAlign w:val="bottom"/>
            <w:tcBorders>
              <w:right w:val="single" w:sz="8" w:color="auto"/>
            </w:tcBorders>
            <w:gridSpan w:val="6"/>
          </w:tcPr>
          <w:p>
            <w:pPr>
              <w:jc w:val="right"/>
              <w:ind w:right="4"/>
              <w:spacing w:after="0"/>
              <w:rPr>
                <w:sz w:val="20"/>
                <w:szCs w:val="20"/>
                <w:color w:val="auto"/>
              </w:rPr>
            </w:pPr>
            <w:r>
              <w:rPr>
                <w:rFonts w:ascii="Arial" w:cs="Arial" w:eastAsia="Arial" w:hAnsi="Arial"/>
                <w:sz w:val="15"/>
                <w:szCs w:val="15"/>
                <w:color w:val="auto"/>
              </w:rPr>
              <w:t>​ The affirmative vote of the holders of a​</w:t>
            </w:r>
          </w:p>
        </w:tc>
        <w:tc>
          <w:tcPr>
            <w:tcW w:w="620" w:type="dxa"/>
            <w:vAlign w:val="bottom"/>
          </w:tcPr>
          <w:p>
            <w:pPr>
              <w:spacing w:after="0"/>
              <w:rPr>
                <w:sz w:val="20"/>
                <w:szCs w:val="20"/>
                <w:color w:val="auto"/>
              </w:rPr>
            </w:pPr>
            <w:r>
              <w:rPr>
                <w:rFonts w:ascii="Arial" w:cs="Arial" w:eastAsia="Arial" w:hAnsi="Arial"/>
                <w:sz w:val="15"/>
                <w:szCs w:val="15"/>
                <w:color w:val="auto"/>
              </w:rPr>
              <w:t>​ Broker</w:t>
            </w:r>
          </w:p>
        </w:tc>
        <w:tc>
          <w:tcPr>
            <w:tcW w:w="1440" w:type="dxa"/>
            <w:vAlign w:val="bottom"/>
          </w:tcPr>
          <w:p>
            <w:pPr>
              <w:ind w:left="60"/>
              <w:spacing w:after="0"/>
              <w:rPr>
                <w:sz w:val="20"/>
                <w:szCs w:val="20"/>
                <w:color w:val="auto"/>
              </w:rPr>
            </w:pPr>
            <w:r>
              <w:rPr>
                <w:rFonts w:ascii="Arial" w:cs="Arial" w:eastAsia="Arial" w:hAnsi="Arial"/>
                <w:sz w:val="15"/>
                <w:szCs w:val="15"/>
                <w:color w:val="auto"/>
              </w:rPr>
              <w:t>non-votes  will  not</w:t>
            </w:r>
          </w:p>
        </w:tc>
        <w:tc>
          <w:tcPr>
            <w:tcW w:w="640" w:type="dxa"/>
            <w:vAlign w:val="bottom"/>
          </w:tcPr>
          <w:p>
            <w:pPr>
              <w:ind w:left="140"/>
              <w:spacing w:after="0"/>
              <w:rPr>
                <w:sz w:val="20"/>
                <w:szCs w:val="20"/>
                <w:color w:val="auto"/>
              </w:rPr>
            </w:pPr>
            <w:r>
              <w:rPr>
                <w:rFonts w:ascii="Arial" w:cs="Arial" w:eastAsia="Arial" w:hAnsi="Arial"/>
                <w:sz w:val="15"/>
                <w:szCs w:val="15"/>
                <w:color w:val="auto"/>
              </w:rPr>
              <w:t>affect</w:t>
            </w:r>
          </w:p>
        </w:tc>
        <w:tc>
          <w:tcPr>
            <w:tcW w:w="360" w:type="dxa"/>
            <w:vAlign w:val="bottom"/>
            <w:tcBorders>
              <w:right w:val="single" w:sz="8" w:color="auto"/>
            </w:tcBorders>
          </w:tcPr>
          <w:p>
            <w:pPr>
              <w:jc w:val="right"/>
              <w:ind w:right="4"/>
              <w:spacing w:after="0"/>
              <w:rPr>
                <w:sz w:val="20"/>
                <w:szCs w:val="20"/>
                <w:color w:val="auto"/>
              </w:rPr>
            </w:pPr>
            <w:r>
              <w:rPr>
                <w:rFonts w:ascii="Arial" w:cs="Arial" w:eastAsia="Arial" w:hAnsi="Arial"/>
                <w:sz w:val="15"/>
                <w:szCs w:val="15"/>
                <w:color w:val="auto"/>
              </w:rPr>
              <w:t>the​</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Inc. 2026 Long-Term Incentive Plan</w:t>
            </w: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majority in voting power of the shares of</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outcome of the vote. Because abstentions</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common stock present or represented by</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are  counted  as  shares  present  and</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proxy  and  entitled  to  vote  thereon  is</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entitled to vote on the proposal, each</w:t>
            </w:r>
          </w:p>
        </w:tc>
      </w:tr>
      <w:tr>
        <w:trPr>
          <w:trHeight w:val="189"/>
        </w:trPr>
        <w:tc>
          <w:tcPr>
            <w:tcW w:w="120" w:type="dxa"/>
            <w:vAlign w:val="bottom"/>
            <w:tcBorders>
              <w:lef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required to approve the Upbound Group,</w:t>
            </w:r>
          </w:p>
        </w:tc>
        <w:tc>
          <w:tcPr>
            <w:tcW w:w="10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color w:val="auto"/>
              </w:rPr>
              <w:t>abstention will have the same effect as a</w:t>
            </w:r>
          </w:p>
        </w:tc>
      </w:tr>
      <w:tr>
        <w:trPr>
          <w:trHeight w:val="200"/>
        </w:trPr>
        <w:tc>
          <w:tcPr>
            <w:tcW w:w="120" w:type="dxa"/>
            <w:vAlign w:val="bottom"/>
            <w:tcBorders>
              <w:left w:val="single" w:sz="8" w:color="auto"/>
            </w:tcBorders>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960" w:type="dxa"/>
            <w:vAlign w:val="bottom"/>
            <w:gridSpan w:val="5"/>
          </w:tcPr>
          <w:p>
            <w:pPr>
              <w:ind w:left="100"/>
              <w:spacing w:after="0"/>
              <w:rPr>
                <w:sz w:val="20"/>
                <w:szCs w:val="20"/>
                <w:color w:val="auto"/>
              </w:rPr>
            </w:pPr>
            <w:r>
              <w:rPr>
                <w:rFonts w:ascii="Arial" w:cs="Arial" w:eastAsia="Arial" w:hAnsi="Arial"/>
                <w:sz w:val="15"/>
                <w:szCs w:val="15"/>
                <w:color w:val="auto"/>
              </w:rPr>
              <w:t>Inc. 2026 Long-Term Incentive Plan.</w:t>
            </w:r>
          </w:p>
        </w:tc>
        <w:tc>
          <w:tcPr>
            <w:tcW w:w="100" w:type="dxa"/>
            <w:vAlign w:val="bottom"/>
            <w:tcBorders>
              <w:right w:val="single" w:sz="8" w:color="auto"/>
            </w:tcBorders>
          </w:tcPr>
          <w:p>
            <w:pPr>
              <w:spacing w:after="0"/>
              <w:rPr>
                <w:sz w:val="17"/>
                <w:szCs w:val="17"/>
                <w:color w:val="auto"/>
              </w:rPr>
            </w:pPr>
          </w:p>
        </w:tc>
        <w:tc>
          <w:tcPr>
            <w:tcW w:w="2060" w:type="dxa"/>
            <w:vAlign w:val="bottom"/>
            <w:gridSpan w:val="2"/>
          </w:tcPr>
          <w:p>
            <w:pPr>
              <w:ind w:left="80"/>
              <w:spacing w:after="0"/>
              <w:rPr>
                <w:sz w:val="20"/>
                <w:szCs w:val="20"/>
                <w:color w:val="auto"/>
              </w:rPr>
            </w:pPr>
            <w:r>
              <w:rPr>
                <w:rFonts w:ascii="Arial" w:cs="Arial" w:eastAsia="Arial" w:hAnsi="Arial"/>
                <w:sz w:val="15"/>
                <w:szCs w:val="15"/>
                <w:color w:val="auto"/>
              </w:rPr>
              <w:t>vote “against” this proposal.</w:t>
            </w:r>
          </w:p>
        </w:tc>
        <w:tc>
          <w:tcPr>
            <w:tcW w:w="6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representative of Broadridge Financial Services, Inc. will tabulate the votes and act as inspector of elections.</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What are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56" w:lineRule="exact"/>
        <w:rPr>
          <w:sz w:val="20"/>
          <w:szCs w:val="20"/>
          <w:color w:val="auto"/>
        </w:rPr>
      </w:pPr>
    </w:p>
    <w:p>
      <w:pPr>
        <w:jc w:val="both"/>
        <w:ind w:left="760" w:right="40"/>
        <w:spacing w:after="0" w:line="276" w:lineRule="auto"/>
        <w:rPr>
          <w:sz w:val="20"/>
          <w:szCs w:val="20"/>
          <w:color w:val="auto"/>
        </w:rPr>
      </w:pPr>
      <w:r>
        <w:rPr>
          <w:rFonts w:ascii="Arial" w:cs="Arial" w:eastAsia="Arial" w:hAnsi="Arial"/>
          <w:sz w:val="16"/>
          <w:szCs w:val="16"/>
          <w:color w:val="auto"/>
        </w:rPr>
        <w:t>Broker non-votes occur when nominees, such as banks and brokers, holding shares on behalf of beneficial owners, or customers, do not receive voting instructions from the customers. Brokers holding shares of record for customers generally are not entitled to vote on certain “non-routine” matters unless they receive voting instructions from their customers. In the event that a broker does not receive voting instructions for these matters, a broker may notify us that it lacks voting authority to vote those shares. These broker non-votes refer to votes that could have been cast on the matter in question by brokers with respect to uninstructed shares if the brokers had received their customers’ instructions. These broker non-votes will be included in determining whether a quorum exists.</w:t>
      </w:r>
    </w:p>
    <w:p>
      <w:pPr>
        <w:spacing w:after="0" w:line="200" w:lineRule="exact"/>
        <w:rPr>
          <w:sz w:val="20"/>
          <w:szCs w:val="20"/>
          <w:color w:val="auto"/>
        </w:rPr>
      </w:pPr>
    </w:p>
    <w:p>
      <w:pPr>
        <w:spacing w:after="0" w:line="241" w:lineRule="exact"/>
        <w:rPr>
          <w:sz w:val="20"/>
          <w:szCs w:val="20"/>
          <w:color w:val="auto"/>
        </w:rPr>
      </w:pPr>
    </w:p>
    <w:p>
      <w:pPr>
        <w:ind w:left="6540"/>
        <w:spacing w:after="0"/>
        <w:tabs>
          <w:tab w:leader="none" w:pos="982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rFonts w:ascii="Arial" w:cs="Arial" w:eastAsia="Arial" w:hAnsi="Arial"/>
          <w:sz w:val="14"/>
          <w:szCs w:val="14"/>
          <w:b w:val="1"/>
          <w:bCs w:val="1"/>
          <w:color w:val="auto"/>
        </w:rPr>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QUESTIONS AND ANSWERS ABOUT THE 2026 ANNUAL MEETING AND VOTING PROCEDURES</w:t>
      </w:r>
    </w:p>
    <w:p>
      <w:pPr>
        <w:spacing w:after="0" w:line="370"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Your broker is not permitted to vote your uninstructed shares in respect of   “non-routine” matters, including Proposal One (election of directors), Proposal Three (advisory vote on executive compensation), Proposal Four (advisory vote on the frequency of future advisory votes on executive compensation) or Proposal Five (approval of the Upbound Group, Inc. 2026 Long-Term Incentive Plan). As a result, if you hold your shares in street name and you do not instruct your broker how to vote, no votes will be cast on your behalf in respect of the foregoing matters. However, if you hold your shares in street name and you do not instruct your broker how to vote in respect of certain “routine” matters, including Proposal Two (ratification of auditors), your broker might be entitled to vote your shares.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 be certain your shares are voted in the manner you desire, you should instruct your bank or broker how to vote your shares.</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Who is soliciting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The Board is soliciting your proxy and we will bear the cost of soliciting proxies. Proxies may be solicited by telephone, electronic mail, personal interview or other means of communication. We will reimburse banks, brokers, custodians, nominees and fiduciaries for reasonable expenses they incur in sending proxy materials to you if you are a beneficial holder of our shares. We have engaged Saratoga Proxy Consulting LLC, a proxy solicitation firm, to assist in the solicitation of proxies for which we will pay a fee in the amount of  $10,000 and will also reimburse Saratoga Proxy Consulting LLC for reasonable and customary out-of-pocket expenses incurred in performing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b w:val="1"/>
          <w:bCs w:val="1"/>
          <w:color w:val="auto"/>
        </w:rPr>
        <w:t>8</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780"/>
        <w:spacing w:after="0"/>
        <w:rPr>
          <w:sz w:val="20"/>
          <w:szCs w:val="20"/>
          <w:color w:val="auto"/>
        </w:rPr>
      </w:pPr>
      <w:r>
        <w:rPr>
          <w:rFonts w:ascii="Arial" w:cs="Arial" w:eastAsia="Arial" w:hAnsi="Arial"/>
          <w:sz w:val="40"/>
          <w:szCs w:val="40"/>
          <w:b w:val="1"/>
          <w:bCs w:val="1"/>
          <w:color w:val="auto"/>
        </w:rPr>
        <w:t>PROPOSAL ONE:</w:t>
      </w:r>
    </w:p>
    <w:p>
      <w:pPr>
        <w:spacing w:after="0" w:line="12" w:lineRule="exact"/>
        <w:rPr>
          <w:sz w:val="20"/>
          <w:szCs w:val="20"/>
          <w:color w:val="auto"/>
        </w:rPr>
      </w:pPr>
    </w:p>
    <w:p>
      <w:pPr>
        <w:ind w:left="3020"/>
        <w:spacing w:after="0"/>
        <w:rPr>
          <w:sz w:val="20"/>
          <w:szCs w:val="20"/>
          <w:color w:val="auto"/>
        </w:rPr>
      </w:pPr>
      <w:r>
        <w:rPr>
          <w:rFonts w:ascii="Arial" w:cs="Arial" w:eastAsia="Arial" w:hAnsi="Arial"/>
          <w:sz w:val="40"/>
          <w:szCs w:val="40"/>
          <w:b w:val="1"/>
          <w:bCs w:val="1"/>
          <w:color w:val="auto"/>
        </w:rPr>
        <w:t>ELECTION OF DIRECTORS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Nominees for Director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20"/>
        <w:spacing w:after="0" w:line="275" w:lineRule="auto"/>
        <w:rPr>
          <w:sz w:val="20"/>
          <w:szCs w:val="20"/>
          <w:color w:val="auto"/>
        </w:rPr>
      </w:pPr>
      <w:r>
        <w:rPr>
          <w:rFonts w:ascii="Arial" w:cs="Arial" w:eastAsia="Arial" w:hAnsi="Arial"/>
          <w:sz w:val="16"/>
          <w:szCs w:val="16"/>
          <w:color w:val="auto"/>
        </w:rPr>
        <w:t>Currently, the number of directors constituting our entire Board is seven, each of whom is elected at the annual meeting of stockholders to serve one-year terms expiring at the following annual meeting of stockholders and until his or her respective successor is duly elected and qualified, or until his or her earlier death, resignation, disqualification or removal.</w:t>
      </w:r>
    </w:p>
    <w:p>
      <w:pPr>
        <w:spacing w:after="0" w:line="110"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6"/>
          <w:szCs w:val="16"/>
          <w:color w:val="auto"/>
        </w:rPr>
        <w:t>Our Board, upon recommendation of the Nominating and Corporate Governance Committee, has nominated seven individuals to be elected as directors by our stockholders.</w:t>
      </w:r>
    </w:p>
    <w:p>
      <w:pPr>
        <w:spacing w:after="0" w:line="102" w:lineRule="exact"/>
        <w:rPr>
          <w:sz w:val="20"/>
          <w:szCs w:val="20"/>
          <w:color w:val="auto"/>
        </w:rPr>
      </w:pPr>
    </w:p>
    <w:p>
      <w:pPr>
        <w:jc w:val="both"/>
        <w:ind w:left="760" w:right="20"/>
        <w:spacing w:after="0" w:line="275" w:lineRule="auto"/>
        <w:rPr>
          <w:sz w:val="20"/>
          <w:szCs w:val="20"/>
          <w:color w:val="auto"/>
        </w:rPr>
      </w:pPr>
      <w:r>
        <w:rPr>
          <w:rFonts w:ascii="Arial" w:cs="Arial" w:eastAsia="Arial" w:hAnsi="Arial"/>
          <w:sz w:val="16"/>
          <w:szCs w:val="16"/>
          <w:color w:val="auto"/>
        </w:rPr>
        <w:t>The qualifications necessary for a board nominee and the Nominating and Corporate Governance Committee’s process for evaluating prospective board members is discussed under “Director Nominations — Qualifications” below. Specific experience and relevant considerations with respect to each nominee are set forth in each candidate’s respective biography below.</w:t>
      </w:r>
    </w:p>
    <w:p>
      <w:pPr>
        <w:spacing w:after="0" w:line="97"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6"/>
          <w:szCs w:val="16"/>
          <w:color w:val="auto"/>
        </w:rPr>
        <w:t>Each nominated director has agreed to stand for election; however, should any of them become unable or unwilling to accept such nomination, the shares of common stock voted for that nominee by proxy will be voted for the election of a substitute nominee as the Board may recommend, or the Board may reduce the number of directors to eliminate the vacancy. If any nominee is unable to serve his or her full term, the Board may reduce the number of directors or designate a substitute to serve until the subsequent annual meeting of stockholders. Our Board has no reason to believe that any of the director nominees will be unable or unwilling to serve as a director, and, to the knowledge of the Board, each intends to serve a full term if elected as a director of the Company.</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Our Board recommends that you vote “FOR” each of the director nominees.</w:t>
      </w:r>
    </w:p>
    <w:p>
      <w:pPr>
        <w:spacing w:after="0" w:line="186"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60" w:type="dxa"/>
            <w:vAlign w:val="bottom"/>
          </w:tcPr>
          <w:p>
            <w:pPr>
              <w:spacing w:after="0"/>
              <w:rPr>
                <w:sz w:val="20"/>
                <w:szCs w:val="20"/>
                <w:color w:val="auto"/>
              </w:rPr>
            </w:pPr>
            <w:r>
              <w:rPr>
                <w:rFonts w:ascii="Arial" w:cs="Arial" w:eastAsia="Arial" w:hAnsi="Arial"/>
                <w:sz w:val="17"/>
                <w:szCs w:val="17"/>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Jeffrey Brown</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02"/>
        </w:trPr>
        <w:tc>
          <w:tcPr>
            <w:tcW w:w="560" w:type="dxa"/>
            <w:vAlign w:val="bottom"/>
          </w:tcPr>
          <w:p>
            <w:pPr>
              <w:spacing w:after="0"/>
              <w:rPr>
                <w:sz w:val="17"/>
                <w:szCs w:val="17"/>
                <w:color w:val="auto"/>
              </w:rPr>
            </w:pPr>
          </w:p>
        </w:tc>
        <w:tc>
          <w:tcPr>
            <w:tcW w:w="6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Chairman of the Board; Independent Director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75"/>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960" w:type="dxa"/>
            <w:vAlign w:val="bottom"/>
          </w:tcPr>
          <w:p>
            <w:pPr>
              <w:spacing w:after="0" w:line="175" w:lineRule="exact"/>
              <w:rPr>
                <w:sz w:val="20"/>
                <w:szCs w:val="20"/>
                <w:color w:val="auto"/>
              </w:rPr>
            </w:pPr>
            <w:r>
              <w:rPr>
                <w:rFonts w:ascii="Arial" w:cs="Arial" w:eastAsia="Arial" w:hAnsi="Arial"/>
                <w:sz w:val="16"/>
                <w:szCs w:val="16"/>
                <w:b w:val="1"/>
                <w:bCs w:val="1"/>
                <w:color w:val="auto"/>
              </w:rPr>
              <w:t>Age: 65</w:t>
            </w:r>
          </w:p>
        </w:tc>
        <w:tc>
          <w:tcPr>
            <w:tcW w:w="40" w:type="dxa"/>
            <w:vAlign w:val="bottom"/>
          </w:tcPr>
          <w:p>
            <w:pPr>
              <w:spacing w:after="0"/>
              <w:rPr>
                <w:sz w:val="15"/>
                <w:szCs w:val="15"/>
                <w:color w:val="auto"/>
              </w:rPr>
            </w:pPr>
          </w:p>
        </w:tc>
      </w:tr>
      <w:tr>
        <w:trPr>
          <w:trHeight w:val="175"/>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960" w:type="dxa"/>
            <w:vAlign w:val="bottom"/>
          </w:tcPr>
          <w:p>
            <w:pPr>
              <w:spacing w:after="0" w:line="175" w:lineRule="exact"/>
              <w:rPr>
                <w:sz w:val="20"/>
                <w:szCs w:val="20"/>
                <w:color w:val="auto"/>
              </w:rPr>
            </w:pPr>
            <w:r>
              <w:rPr>
                <w:rFonts w:ascii="Arial" w:cs="Arial" w:eastAsia="Arial" w:hAnsi="Arial"/>
                <w:sz w:val="16"/>
                <w:szCs w:val="16"/>
                <w:b w:val="1"/>
                <w:bCs w:val="1"/>
                <w:color w:val="auto"/>
              </w:rPr>
              <w:t>Director Since: 2017</w:t>
            </w:r>
          </w:p>
        </w:tc>
        <w:tc>
          <w:tcPr>
            <w:tcW w:w="40" w:type="dxa"/>
            <w:vAlign w:val="bottom"/>
          </w:tcPr>
          <w:p>
            <w:pPr>
              <w:spacing w:after="0"/>
              <w:rPr>
                <w:sz w:val="15"/>
                <w:szCs w:val="15"/>
                <w:color w:val="auto"/>
              </w:rPr>
            </w:pPr>
          </w:p>
        </w:tc>
      </w:tr>
      <w:tr>
        <w:trPr>
          <w:trHeight w:val="223"/>
        </w:trPr>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Committees Served: Audit &amp; Risk (chair)</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-646430</wp:posOffset>
            </wp:positionV>
            <wp:extent cx="685800" cy="754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754380"/>
                    </a:xfrm>
                    <a:prstGeom prst="rect">
                      <a:avLst/>
                    </a:prstGeom>
                    <a:noFill/>
                  </pic:spPr>
                </pic:pic>
              </a:graphicData>
            </a:graphic>
          </wp:anchor>
        </w:drawing>
      </w:r>
    </w:p>
    <w:p>
      <w:pPr>
        <w:spacing w:after="0" w:line="284" w:lineRule="exact"/>
        <w:rPr>
          <w:sz w:val="20"/>
          <w:szCs w:val="20"/>
          <w:color w:val="auto"/>
        </w:rPr>
      </w:pPr>
    </w:p>
    <w:p>
      <w:pPr>
        <w:jc w:val="both"/>
        <w:ind w:left="760" w:right="20"/>
        <w:spacing w:after="0" w:line="269" w:lineRule="auto"/>
        <w:rPr>
          <w:sz w:val="20"/>
          <w:szCs w:val="20"/>
          <w:color w:val="auto"/>
        </w:rPr>
      </w:pPr>
      <w:r>
        <w:rPr>
          <w:rFonts w:ascii="Arial" w:cs="Arial" w:eastAsia="Arial" w:hAnsi="Arial"/>
          <w:sz w:val="16"/>
          <w:szCs w:val="16"/>
          <w:color w:val="auto"/>
        </w:rPr>
        <w:t>Mr. Brown is the Chief Executive Officer and founding member of Brown Equity Partners, LLC (“BEP”), which provides capital to management teams and companies needing equity capital. Prior to founding BEP in 2007, Mr. Brown served as a founding partner and primary deal originator of the venture capital and private equity firm Forrest Binkley &amp; Brown from 1993 to 2007. Mr. Brown has worked at Hughes Aircraft Company, Morgan Stanley &amp; Company, Security Pacific Capital Corporation and Bank of America Corporation.</w:t>
      </w:r>
    </w:p>
    <w:p>
      <w:pPr>
        <w:spacing w:after="0" w:line="103"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6"/>
          <w:szCs w:val="16"/>
          <w:color w:val="auto"/>
        </w:rPr>
        <w:t>In his 40 years in the investment business, Mr. Brown has served on over 50 boards of directors, including the boards of directors of 10 public companies. Since June 2017, Mr. Brown has served as a director of Upbound Group, Inc., and is currently its Chairman. Since June 2015, Mr. Brown has served as the Lead Director of Medifast, where he also serves as chairman of the Audit &amp; Risk Committee and is a member of the Executive Committee. As previously disclosed, Mr. Brown will not stand for re-election at Medifast’s 2026 annual meeting of stockholders and, as a result, his service on the board of directors of Medifast will end on or around May 19, 2026. Mr. Brown previously served as a director for various companies, including Cadiz, Inc., Golden State Vintners, Inc., Nordion, Inc., Outerwall, Inc. and Stamps.com, Inc.</w:t>
      </w:r>
    </w:p>
    <w:p>
      <w:pPr>
        <w:spacing w:after="0" w:line="109" w:lineRule="exact"/>
        <w:rPr>
          <w:sz w:val="20"/>
          <w:szCs w:val="20"/>
          <w:color w:val="auto"/>
        </w:rPr>
      </w:pPr>
    </w:p>
    <w:p>
      <w:pPr>
        <w:jc w:val="both"/>
        <w:ind w:left="760" w:right="20"/>
        <w:spacing w:after="0" w:line="304" w:lineRule="auto"/>
        <w:rPr>
          <w:sz w:val="20"/>
          <w:szCs w:val="20"/>
          <w:color w:val="auto"/>
        </w:rPr>
      </w:pPr>
      <w:r>
        <w:rPr>
          <w:rFonts w:ascii="Arial" w:cs="Arial" w:eastAsia="Arial" w:hAnsi="Arial"/>
          <w:sz w:val="16"/>
          <w:szCs w:val="16"/>
          <w:color w:val="auto"/>
        </w:rPr>
        <w:t>We believe Mr. Brown’s extensive public and private company board experience, significant transactional experience and strong financial experience, provide valuable perspectives and leadership to the Board as we pursue our strategic growth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540"/>
        <w:spacing w:after="0"/>
        <w:tabs>
          <w:tab w:leader="none" w:pos="982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rFonts w:ascii="Arial" w:cs="Arial" w:eastAsia="Arial" w:hAnsi="Arial"/>
          <w:sz w:val="14"/>
          <w:szCs w:val="14"/>
          <w:b w:val="1"/>
          <w:bCs w:val="1"/>
          <w:color w:val="auto"/>
        </w:rPr>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ONE: ELECTION OF DIRECTORS</w:t>
      </w:r>
    </w:p>
    <w:p>
      <w:pPr>
        <w:spacing w:after="0" w:line="361"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60" w:type="dxa"/>
            <w:vAlign w:val="bottom"/>
          </w:tcPr>
          <w:p>
            <w:pPr>
              <w:spacing w:after="0"/>
              <w:rPr>
                <w:sz w:val="20"/>
                <w:szCs w:val="20"/>
                <w:color w:val="auto"/>
              </w:rPr>
            </w:pPr>
            <w:r>
              <w:rPr>
                <w:rFonts w:ascii="Arial" w:cs="Arial" w:eastAsia="Arial" w:hAnsi="Arial"/>
                <w:sz w:val="17"/>
                <w:szCs w:val="17"/>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Charu Jain</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5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Independent Director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75"/>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960" w:type="dxa"/>
            <w:vAlign w:val="bottom"/>
          </w:tcPr>
          <w:p>
            <w:pPr>
              <w:spacing w:after="0" w:line="175" w:lineRule="exact"/>
              <w:rPr>
                <w:sz w:val="20"/>
                <w:szCs w:val="20"/>
                <w:color w:val="auto"/>
              </w:rPr>
            </w:pPr>
            <w:r>
              <w:rPr>
                <w:rFonts w:ascii="Arial" w:cs="Arial" w:eastAsia="Arial" w:hAnsi="Arial"/>
                <w:sz w:val="16"/>
                <w:szCs w:val="16"/>
                <w:b w:val="1"/>
                <w:bCs w:val="1"/>
                <w:color w:val="auto"/>
              </w:rPr>
              <w:t>Age: 62</w:t>
            </w:r>
          </w:p>
        </w:tc>
        <w:tc>
          <w:tcPr>
            <w:tcW w:w="40" w:type="dxa"/>
            <w:vAlign w:val="bottom"/>
          </w:tcPr>
          <w:p>
            <w:pPr>
              <w:spacing w:after="0"/>
              <w:rPr>
                <w:sz w:val="15"/>
                <w:szCs w:val="15"/>
                <w:color w:val="auto"/>
              </w:rPr>
            </w:pPr>
          </w:p>
        </w:tc>
      </w:tr>
      <w:tr>
        <w:trPr>
          <w:trHeight w:val="189"/>
        </w:trPr>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Director Since: 2024</w:t>
            </w:r>
          </w:p>
        </w:tc>
        <w:tc>
          <w:tcPr>
            <w:tcW w:w="40" w:type="dxa"/>
            <w:vAlign w:val="bottom"/>
          </w:tcPr>
          <w:p>
            <w:pPr>
              <w:spacing w:after="0"/>
              <w:rPr>
                <w:sz w:val="16"/>
                <w:szCs w:val="16"/>
                <w:color w:val="auto"/>
              </w:rPr>
            </w:pPr>
          </w:p>
        </w:tc>
      </w:tr>
      <w:tr>
        <w:trPr>
          <w:trHeight w:val="223"/>
        </w:trPr>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Committees Served: Cybersecurity, Technology and Innovation (chair)</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-646430</wp:posOffset>
            </wp:positionV>
            <wp:extent cx="685800"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754380"/>
                    </a:xfrm>
                    <a:prstGeom prst="rect">
                      <a:avLst/>
                    </a:prstGeom>
                    <a:noFill/>
                  </pic:spPr>
                </pic:pic>
              </a:graphicData>
            </a:graphic>
          </wp:anchor>
        </w:drawing>
      </w:r>
    </w:p>
    <w:p>
      <w:pPr>
        <w:spacing w:after="0" w:line="270" w:lineRule="exact"/>
        <w:rPr>
          <w:sz w:val="20"/>
          <w:szCs w:val="20"/>
          <w:color w:val="auto"/>
        </w:rPr>
      </w:pPr>
    </w:p>
    <w:p>
      <w:pPr>
        <w:jc w:val="both"/>
        <w:ind w:left="760" w:right="20"/>
        <w:spacing w:after="0" w:line="261" w:lineRule="auto"/>
        <w:rPr>
          <w:sz w:val="20"/>
          <w:szCs w:val="20"/>
          <w:color w:val="auto"/>
        </w:rPr>
      </w:pPr>
      <w:r>
        <w:rPr>
          <w:rFonts w:ascii="Arial" w:cs="Arial" w:eastAsia="Arial" w:hAnsi="Arial"/>
          <w:sz w:val="16"/>
          <w:szCs w:val="16"/>
          <w:color w:val="auto"/>
        </w:rPr>
        <w:t>Ms. Jain is a senior technology executive with a track record of using technology and innovation to achieve growth and leading successful large-scale digital transformation initiatives. Currently, Ms. Jain serves as the senior vice president of merchandising and innovation at Alaska Air Group, Inc. (“Alaska Air Group”) (NASDAQ: ALK), the holding company for a leading global and regional airline. In her role, Ms. Jain is responsible for driving strategy and execution for both employee and consumer-facing innovation along with taking Alaska Air Group to the next level with merchandising products and services and managing ever evolving airline distribution channels. She also serves as the management lead to the Innovation Committee of the Board of Directors at Alaska Air Group. Ms. Jain joined Alaska Air Group in 2017 as vice president and chief information officer, where she led the technology integration of Virgin America, data center and cloud migration, and mobile tool expansion across the company. Prior to Alaska Air Group, Ms. Jain served in various technology and other leadership roles at companies including IBM, Pacific Gas &amp; Electric, United Airlines and PwC. Ms. Jain holds a Bachelor’s Degree in Economics from Lucknow University, India, and an MBA in International Management at Lake Forest Graduate School of Management, Illinois. With a passion for developing STEM talent, Ms. Jain serves on the University of Washington Foster School of Business Technology Advisory Board and the YearUp Puget Sound Board of Directors. Ms. Jain is a recipient of the Orbie leadership award, which recognizes technology executives for their leadership, innovation, and excellence.</w:t>
      </w:r>
    </w:p>
    <w:p>
      <w:pPr>
        <w:spacing w:after="0" w:line="115" w:lineRule="exact"/>
        <w:rPr>
          <w:sz w:val="20"/>
          <w:szCs w:val="20"/>
          <w:color w:val="auto"/>
        </w:rPr>
      </w:pPr>
    </w:p>
    <w:p>
      <w:pPr>
        <w:jc w:val="both"/>
        <w:ind w:left="760" w:right="20"/>
        <w:spacing w:after="0" w:line="284" w:lineRule="auto"/>
        <w:rPr>
          <w:sz w:val="20"/>
          <w:szCs w:val="20"/>
          <w:color w:val="auto"/>
        </w:rPr>
      </w:pPr>
      <w:r>
        <w:rPr>
          <w:rFonts w:ascii="Arial" w:cs="Arial" w:eastAsia="Arial" w:hAnsi="Arial"/>
          <w:sz w:val="16"/>
          <w:szCs w:val="16"/>
          <w:color w:val="auto"/>
        </w:rPr>
        <w:t>We believe Ms. Jain’s significant recent experience in digital transformation, technology initiatives and strategy for a consumer-facing industry, and her senior executive leadership experience provide our Board with a valuable perspective as our Company pursues its strategic objectives.</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60" w:type="dxa"/>
            <w:vAlign w:val="bottom"/>
          </w:tcPr>
          <w:p>
            <w:pPr>
              <w:spacing w:after="0"/>
              <w:rPr>
                <w:sz w:val="20"/>
                <w:szCs w:val="20"/>
                <w:color w:val="auto"/>
              </w:rPr>
            </w:pPr>
            <w:r>
              <w:rPr>
                <w:rFonts w:ascii="Arial" w:cs="Arial" w:eastAsia="Arial" w:hAnsi="Arial"/>
                <w:sz w:val="17"/>
                <w:szCs w:val="17"/>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Fahmi Karam</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5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Chief Executive Officer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75"/>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960" w:type="dxa"/>
            <w:vAlign w:val="bottom"/>
          </w:tcPr>
          <w:p>
            <w:pPr>
              <w:spacing w:after="0" w:line="175" w:lineRule="exact"/>
              <w:rPr>
                <w:sz w:val="20"/>
                <w:szCs w:val="20"/>
                <w:color w:val="auto"/>
              </w:rPr>
            </w:pPr>
            <w:r>
              <w:rPr>
                <w:rFonts w:ascii="Arial" w:cs="Arial" w:eastAsia="Arial" w:hAnsi="Arial"/>
                <w:sz w:val="16"/>
                <w:szCs w:val="16"/>
                <w:b w:val="1"/>
                <w:bCs w:val="1"/>
                <w:color w:val="auto"/>
              </w:rPr>
              <w:t>Age: 47</w:t>
            </w:r>
          </w:p>
        </w:tc>
        <w:tc>
          <w:tcPr>
            <w:tcW w:w="40" w:type="dxa"/>
            <w:vAlign w:val="bottom"/>
          </w:tcPr>
          <w:p>
            <w:pPr>
              <w:spacing w:after="0"/>
              <w:rPr>
                <w:sz w:val="15"/>
                <w:szCs w:val="15"/>
                <w:color w:val="auto"/>
              </w:rPr>
            </w:pPr>
          </w:p>
        </w:tc>
      </w:tr>
      <w:tr>
        <w:trPr>
          <w:trHeight w:val="189"/>
        </w:trPr>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Director Since: 2025</w:t>
            </w:r>
          </w:p>
        </w:tc>
        <w:tc>
          <w:tcPr>
            <w:tcW w:w="40" w:type="dxa"/>
            <w:vAlign w:val="bottom"/>
          </w:tcPr>
          <w:p>
            <w:pPr>
              <w:spacing w:after="0"/>
              <w:rPr>
                <w:sz w:val="16"/>
                <w:szCs w:val="16"/>
                <w:color w:val="auto"/>
              </w:rPr>
            </w:pPr>
          </w:p>
        </w:tc>
      </w:tr>
      <w:tr>
        <w:trPr>
          <w:trHeight w:val="223"/>
        </w:trPr>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Committees Served: N/A</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-646430</wp:posOffset>
            </wp:positionV>
            <wp:extent cx="685800" cy="754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754380"/>
                    </a:xfrm>
                    <a:prstGeom prst="rect">
                      <a:avLst/>
                    </a:prstGeom>
                    <a:noFill/>
                  </pic:spPr>
                </pic:pic>
              </a:graphicData>
            </a:graphic>
          </wp:anchor>
        </w:drawing>
      </w:r>
    </w:p>
    <w:p>
      <w:pPr>
        <w:spacing w:after="0" w:line="270"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6"/>
          <w:szCs w:val="16"/>
          <w:color w:val="auto"/>
        </w:rPr>
        <w:t>Mr. Karam has served as a director and Chief Executive Officer of the Company since June 1, 2025. He previously served as Executive Vice President and Chief Financial Officer beginning in October 2022. Mr. Karam has 25 years of experience in strategy, operations, and finance. Prior to joining the Company, he served as Chief Financial Officer of Santander Consumer USA. Earlier at Santander, he held senior leadership roles including Head of Pricing and Analytics and Executive Vice President, Strategy and Corporate Development. Before Santander, Mr. Karam spent 12 years with J.P. Morgan’s Investment Banking division and began his career at Deloitte in Audit and Assurance Services. Mr. Karam holds a Bachelor’s degree and a Master of Accountancy from Baylor University and is a Certified Public Accountant.</w:t>
      </w:r>
    </w:p>
    <w:p>
      <w:pPr>
        <w:spacing w:after="0" w:line="109" w:lineRule="exact"/>
        <w:rPr>
          <w:sz w:val="20"/>
          <w:szCs w:val="20"/>
          <w:color w:val="auto"/>
        </w:rPr>
      </w:pPr>
    </w:p>
    <w:p>
      <w:pPr>
        <w:jc w:val="both"/>
        <w:ind w:left="760" w:right="20"/>
        <w:spacing w:after="0" w:line="268" w:lineRule="auto"/>
        <w:rPr>
          <w:sz w:val="20"/>
          <w:szCs w:val="20"/>
          <w:color w:val="auto"/>
        </w:rPr>
      </w:pPr>
      <w:r>
        <w:rPr>
          <w:rFonts w:ascii="Arial" w:cs="Arial" w:eastAsia="Arial" w:hAnsi="Arial"/>
          <w:sz w:val="16"/>
          <w:szCs w:val="16"/>
          <w:color w:val="auto"/>
        </w:rPr>
        <w:t>As our CEO, Mr. Karam’s executive leadership of the Company provides him with intimate knowledge of our operations, strategies, competitive environment, financial performance and capital allocation that are a vital component of our Board discussions. In addition, Mr. Karam brings 25 years of experience in strategy, operations and finance, including his previous role as Executive Vice President and Chief Financial Officer of the Company, to the Board. We believe Mr. Karam’s service as our Chief Executive Officer creates a critical link between management and our Board, enabling our Board to perform its oversight function with the benefit of management’s perspectives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60" w:hanging="398"/>
        <w:spacing w:after="0"/>
        <w:tabs>
          <w:tab w:leader="none" w:pos="116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15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65"/>
        </w:trPr>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20" w:type="dxa"/>
            <w:vAlign w:val="bottom"/>
            <w:gridSpan w:val="2"/>
          </w:tcPr>
          <w:p>
            <w:pPr>
              <w:ind w:left="1580"/>
              <w:spacing w:after="0"/>
              <w:rPr>
                <w:sz w:val="20"/>
                <w:szCs w:val="20"/>
                <w:color w:val="auto"/>
              </w:rPr>
            </w:pPr>
            <w:r>
              <w:rPr>
                <w:rFonts w:ascii="Arial" w:cs="Arial" w:eastAsia="Arial" w:hAnsi="Arial"/>
                <w:sz w:val="16"/>
                <w:szCs w:val="16"/>
                <w:b w:val="1"/>
                <w:bCs w:val="1"/>
                <w:color w:val="auto"/>
                <w:w w:val="93"/>
              </w:rPr>
              <w:t>PROPOSAL ONE: ELECTION OF DIRECTORS​</w:t>
            </w:r>
          </w:p>
        </w:tc>
      </w:tr>
      <w:tr>
        <w:trPr>
          <w:trHeight w:val="223"/>
        </w:trPr>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r>
        <w:trPr>
          <w:trHeight w:val="379"/>
        </w:trPr>
        <w:tc>
          <w:tcPr>
            <w:tcW w:w="1520" w:type="dxa"/>
            <w:vAlign w:val="bottom"/>
          </w:tcPr>
          <w:p>
            <w:pPr>
              <w:ind w:left="760"/>
              <w:spacing w:after="0"/>
              <w:rPr>
                <w:sz w:val="20"/>
                <w:szCs w:val="20"/>
                <w:color w:val="auto"/>
              </w:rPr>
            </w:pPr>
            <w:r>
              <w:rPr>
                <w:rFonts w:ascii="Arial" w:cs="Arial" w:eastAsia="Arial" w:hAnsi="Arial"/>
                <w:sz w:val="17"/>
                <w:szCs w:val="17"/>
                <w:color w:val="auto"/>
              </w:rPr>
              <w:t>​</w:t>
            </w:r>
          </w:p>
        </w:tc>
        <w:tc>
          <w:tcPr>
            <w:tcW w:w="3660" w:type="dxa"/>
            <w:vAlign w:val="bottom"/>
            <w:gridSpan w:val="2"/>
          </w:tcPr>
          <w:p>
            <w:pPr>
              <w:ind w:left="3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Molly Langenstein</w:t>
            </w:r>
          </w:p>
        </w:tc>
        <w:tc>
          <w:tcPr>
            <w:tcW w:w="47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1520" w:type="dxa"/>
            <w:vAlign w:val="bottom"/>
          </w:tcPr>
          <w:p>
            <w:pPr>
              <w:spacing w:after="0"/>
              <w:rPr>
                <w:sz w:val="16"/>
                <w:szCs w:val="16"/>
                <w:color w:val="auto"/>
              </w:rPr>
            </w:pPr>
          </w:p>
        </w:tc>
        <w:tc>
          <w:tcPr>
            <w:tcW w:w="46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3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Independent Director</w:t>
            </w:r>
          </w:p>
        </w:tc>
        <w:tc>
          <w:tcPr>
            <w:tcW w:w="4760" w:type="dxa"/>
            <w:vAlign w:val="bottom"/>
            <w:tcBorders>
              <w:top w:val="single" w:sz="8" w:color="auto"/>
            </w:tcBorders>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75"/>
        </w:trPr>
        <w:tc>
          <w:tcPr>
            <w:tcW w:w="1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0" w:type="dxa"/>
            <w:vAlign w:val="bottom"/>
          </w:tcPr>
          <w:p>
            <w:pPr>
              <w:spacing w:after="0" w:line="175" w:lineRule="exact"/>
              <w:rPr>
                <w:sz w:val="20"/>
                <w:szCs w:val="20"/>
                <w:color w:val="auto"/>
              </w:rPr>
            </w:pPr>
            <w:r>
              <w:rPr>
                <w:rFonts w:ascii="Arial" w:cs="Arial" w:eastAsia="Arial" w:hAnsi="Arial"/>
                <w:sz w:val="16"/>
                <w:szCs w:val="16"/>
                <w:b w:val="1"/>
                <w:bCs w:val="1"/>
                <w:color w:val="auto"/>
              </w:rPr>
              <w:t>Age: 62</w:t>
            </w:r>
          </w:p>
        </w:tc>
        <w:tc>
          <w:tcPr>
            <w:tcW w:w="4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Director Since: 2024</w:t>
            </w:r>
          </w:p>
        </w:tc>
        <w:tc>
          <w:tcPr>
            <w:tcW w:w="47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-514985</wp:posOffset>
            </wp:positionV>
            <wp:extent cx="685800" cy="754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 cy="754380"/>
                    </a:xfrm>
                    <a:prstGeom prst="rect">
                      <a:avLst/>
                    </a:prstGeom>
                    <a:noFill/>
                  </pic:spPr>
                </pic:pic>
              </a:graphicData>
            </a:graphic>
          </wp:anchor>
        </w:drawing>
      </w:r>
    </w:p>
    <w:p>
      <w:pPr>
        <w:ind w:left="1980" w:right="620"/>
        <w:spacing w:after="0" w:line="258" w:lineRule="auto"/>
        <w:rPr>
          <w:sz w:val="20"/>
          <w:szCs w:val="20"/>
          <w:color w:val="auto"/>
        </w:rPr>
      </w:pPr>
      <w:r>
        <w:rPr>
          <w:rFonts w:ascii="Arial" w:cs="Arial" w:eastAsia="Arial" w:hAnsi="Arial"/>
          <w:sz w:val="16"/>
          <w:szCs w:val="16"/>
          <w:b w:val="1"/>
          <w:bCs w:val="1"/>
          <w:color w:val="auto"/>
        </w:rPr>
        <w:t>Committees Served: Compensation; Cybersecurity, Technology and Innovation; Nominating and Corporate Governance</w:t>
      </w:r>
    </w:p>
    <w:p>
      <w:pPr>
        <w:spacing w:after="0" w:line="101" w:lineRule="exact"/>
        <w:rPr>
          <w:sz w:val="20"/>
          <w:szCs w:val="20"/>
          <w:color w:val="auto"/>
        </w:rPr>
      </w:pPr>
    </w:p>
    <w:p>
      <w:pPr>
        <w:jc w:val="both"/>
        <w:ind w:left="760" w:right="40"/>
        <w:spacing w:after="0" w:line="261" w:lineRule="auto"/>
        <w:rPr>
          <w:sz w:val="20"/>
          <w:szCs w:val="20"/>
          <w:color w:val="auto"/>
        </w:rPr>
      </w:pPr>
      <w:r>
        <w:rPr>
          <w:rFonts w:ascii="Arial" w:cs="Arial" w:eastAsia="Arial" w:hAnsi="Arial"/>
          <w:sz w:val="16"/>
          <w:szCs w:val="16"/>
          <w:color w:val="auto"/>
        </w:rPr>
        <w:t>Ms. Langenstein was appointed to the Board in 2024. Ms. Langenstein is a 30-year retail industry veteran with a proven track record of building multiple successful brands. Her experience and leadership include navigating the evolving digital landscape for consumers and delivering omni-channel experiences. Most recently, Ms. Langenstein served as the Chief Executive Officer and President and a member of the board of directors of Chico’s FAS (“Chico’s”), one of the leading fashion retailers in North America, until Chico’s was acquired by Sycamore Partners in January 2024. Ms. Langenstein joined Chico’s in August 2019 as the company’s President, Apparel Group. She transitioned to the role of CEO and President on June 24, 2020. Before joining Chico’s, she spent nearly three decades at Macy’s, Inc., where she was promoted to numerous executive positions with increasing scope and responsibility, including General Business Manager, Ready-to-Wear at Macy’s from 2017 to 2019. Prior to that, she served as Chief Private Brands Officer of Macy’s and Bloomingdale’s from 2015 to 2017. Ms. Langenstein served as Executive Vice President of Private Brands for Men’s and Children’s Wear at Macy’s Private Brands from 2013 to 2014. In 2012, she was named Executive Vice President, Group Merchandise Manager of Millennial at Macy’s. Ms. Langenstein received her Bachelor of Science degree in fashion merchandising from Kent State University. Ms. Langenstein served on the Kent State University Advisory Board from 2017 to 2023. In November 2024, Ms. Langenstein joined the Board of Directors of Caleres, Inc., a publicly traded global footwear company.</w:t>
      </w:r>
    </w:p>
    <w:p>
      <w:pPr>
        <w:spacing w:after="0" w:line="115" w:lineRule="exact"/>
        <w:rPr>
          <w:sz w:val="20"/>
          <w:szCs w:val="20"/>
          <w:color w:val="auto"/>
        </w:rPr>
      </w:pPr>
    </w:p>
    <w:p>
      <w:pPr>
        <w:jc w:val="both"/>
        <w:ind w:left="760" w:right="60"/>
        <w:spacing w:after="0" w:line="284" w:lineRule="auto"/>
        <w:rPr>
          <w:sz w:val="20"/>
          <w:szCs w:val="20"/>
          <w:color w:val="auto"/>
        </w:rPr>
      </w:pPr>
      <w:r>
        <w:rPr>
          <w:rFonts w:ascii="Arial" w:cs="Arial" w:eastAsia="Arial" w:hAnsi="Arial"/>
          <w:sz w:val="16"/>
          <w:szCs w:val="16"/>
          <w:color w:val="auto"/>
        </w:rPr>
        <w:t>We believe Ms. Langenstein’s significant recent experience in the retail industry, including omni-channel and digital consumer offerings, and her senior executive leadership experience provide our Board with a valuable perspective as our Company pursues its strategic objectives.</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60" w:type="dxa"/>
            <w:vAlign w:val="bottom"/>
          </w:tcPr>
          <w:p>
            <w:pPr>
              <w:spacing w:after="0"/>
              <w:rPr>
                <w:sz w:val="20"/>
                <w:szCs w:val="20"/>
                <w:color w:val="auto"/>
              </w:rPr>
            </w:pPr>
            <w:r>
              <w:rPr>
                <w:rFonts w:ascii="Arial" w:cs="Arial" w:eastAsia="Arial" w:hAnsi="Arial"/>
                <w:sz w:val="17"/>
                <w:szCs w:val="17"/>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Harold Lewis</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5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Independent Director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75"/>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960" w:type="dxa"/>
            <w:vAlign w:val="bottom"/>
          </w:tcPr>
          <w:p>
            <w:pPr>
              <w:spacing w:after="0" w:line="175" w:lineRule="exact"/>
              <w:rPr>
                <w:sz w:val="20"/>
                <w:szCs w:val="20"/>
                <w:color w:val="auto"/>
              </w:rPr>
            </w:pPr>
            <w:r>
              <w:rPr>
                <w:rFonts w:ascii="Arial" w:cs="Arial" w:eastAsia="Arial" w:hAnsi="Arial"/>
                <w:sz w:val="16"/>
                <w:szCs w:val="16"/>
                <w:b w:val="1"/>
                <w:bCs w:val="1"/>
                <w:color w:val="auto"/>
              </w:rPr>
              <w:t>Age: 65</w:t>
            </w:r>
          </w:p>
        </w:tc>
        <w:tc>
          <w:tcPr>
            <w:tcW w:w="40" w:type="dxa"/>
            <w:vAlign w:val="bottom"/>
          </w:tcPr>
          <w:p>
            <w:pPr>
              <w:spacing w:after="0"/>
              <w:rPr>
                <w:sz w:val="15"/>
                <w:szCs w:val="15"/>
                <w:color w:val="auto"/>
              </w:rPr>
            </w:pPr>
          </w:p>
        </w:tc>
      </w:tr>
      <w:tr>
        <w:trPr>
          <w:trHeight w:val="189"/>
        </w:trPr>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Director Since: 2019</w:t>
            </w:r>
          </w:p>
        </w:tc>
        <w:tc>
          <w:tcPr>
            <w:tcW w:w="40" w:type="dxa"/>
            <w:vAlign w:val="bottom"/>
          </w:tcPr>
          <w:p>
            <w:pPr>
              <w:spacing w:after="0"/>
              <w:rPr>
                <w:sz w:val="16"/>
                <w:szCs w:val="16"/>
                <w:color w:val="auto"/>
              </w:rPr>
            </w:pPr>
          </w:p>
        </w:tc>
      </w:tr>
      <w:tr>
        <w:trPr>
          <w:trHeight w:val="223"/>
        </w:trPr>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Committees Served: Audit &amp; Risk; Compensation</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-645795</wp:posOffset>
            </wp:positionV>
            <wp:extent cx="685800" cy="754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 cy="754380"/>
                    </a:xfrm>
                    <a:prstGeom prst="rect">
                      <a:avLst/>
                    </a:prstGeom>
                    <a:noFill/>
                  </pic:spPr>
                </pic:pic>
              </a:graphicData>
            </a:graphic>
          </wp:anchor>
        </w:drawing>
      </w:r>
    </w:p>
    <w:p>
      <w:pPr>
        <w:spacing w:after="0" w:line="270"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Mr. Lewis brings over 30 years of experience in financial services and mortgage lending. Mr. Lewis currently serves as the President and Chief Operating Officer of BSI Financial Services, a financial services company in the mortgage industry. From August 2018 until June 2019, he served as the CEO of Renovate America, Inc., a national home improvement fintech company focused on energy efficient home improvement lending. From 2016 to 2018, Mr. Lewis was a senior advisor for McKinsey &amp; Company, a worldwide management consulting firm. From 2012 to 2015, he served as President and COO of Nationstar Mortgage, one of the largest mortgage servicers in the country. In that position, he grew Nationstar’s servicing platform from $30 billion to $400 billion and mortgage origination portfolio from $1.8 billion to $25 billion while also building and managing Nationstar’s relationship with the newly created industry regulator, the Consumer Financial Protection Bureau. Prior to Nationstar Mortgage, he held C-Suite and senior executive positions at Citi Mortgage, Fannie Mae, Resource Bancshares Mortgage Group and Nations Credit, among others.</w:t>
      </w:r>
    </w:p>
    <w:p>
      <w:pPr>
        <w:spacing w:after="0" w:line="111" w:lineRule="exact"/>
        <w:rPr>
          <w:sz w:val="20"/>
          <w:szCs w:val="20"/>
          <w:color w:val="auto"/>
        </w:rPr>
      </w:pPr>
    </w:p>
    <w:p>
      <w:pPr>
        <w:jc w:val="both"/>
        <w:ind w:left="760" w:right="40"/>
        <w:spacing w:after="0" w:line="298" w:lineRule="auto"/>
        <w:rPr>
          <w:sz w:val="20"/>
          <w:szCs w:val="20"/>
          <w:color w:val="auto"/>
        </w:rPr>
      </w:pPr>
      <w:r>
        <w:rPr>
          <w:rFonts w:ascii="Arial" w:cs="Arial" w:eastAsia="Arial" w:hAnsi="Arial"/>
          <w:sz w:val="16"/>
          <w:szCs w:val="16"/>
          <w:color w:val="auto"/>
        </w:rPr>
        <w:t>We believe that Mr. Lewis’ significant financial technology knowledge, broad experience with a similar customer demographic as our company and consumer finance regulatory experience provides our Board with an important resource across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8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ONE: ELECTION OF DIRECTORS</w:t>
      </w:r>
    </w:p>
    <w:p>
      <w:pPr>
        <w:spacing w:after="0" w:line="361"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60" w:type="dxa"/>
            <w:vAlign w:val="bottom"/>
          </w:tcPr>
          <w:p>
            <w:pPr>
              <w:spacing w:after="0"/>
              <w:rPr>
                <w:sz w:val="20"/>
                <w:szCs w:val="20"/>
                <w:color w:val="auto"/>
              </w:rPr>
            </w:pPr>
            <w:r>
              <w:rPr>
                <w:rFonts w:ascii="Arial" w:cs="Arial" w:eastAsia="Arial" w:hAnsi="Arial"/>
                <w:sz w:val="17"/>
                <w:szCs w:val="17"/>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Glenn Marino</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5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Independent Director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75"/>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960" w:type="dxa"/>
            <w:vAlign w:val="bottom"/>
          </w:tcPr>
          <w:p>
            <w:pPr>
              <w:spacing w:after="0" w:line="175" w:lineRule="exact"/>
              <w:rPr>
                <w:sz w:val="20"/>
                <w:szCs w:val="20"/>
                <w:color w:val="auto"/>
              </w:rPr>
            </w:pPr>
            <w:r>
              <w:rPr>
                <w:rFonts w:ascii="Arial" w:cs="Arial" w:eastAsia="Arial" w:hAnsi="Arial"/>
                <w:sz w:val="16"/>
                <w:szCs w:val="16"/>
                <w:b w:val="1"/>
                <w:bCs w:val="1"/>
                <w:color w:val="auto"/>
              </w:rPr>
              <w:t>Age: 69</w:t>
            </w:r>
          </w:p>
        </w:tc>
        <w:tc>
          <w:tcPr>
            <w:tcW w:w="40" w:type="dxa"/>
            <w:vAlign w:val="bottom"/>
          </w:tcPr>
          <w:p>
            <w:pPr>
              <w:spacing w:after="0"/>
              <w:rPr>
                <w:sz w:val="15"/>
                <w:szCs w:val="15"/>
                <w:color w:val="auto"/>
              </w:rPr>
            </w:pPr>
          </w:p>
        </w:tc>
      </w:tr>
      <w:tr>
        <w:trPr>
          <w:trHeight w:val="205"/>
        </w:trPr>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Director Since: 2020</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-514985</wp:posOffset>
            </wp:positionV>
            <wp:extent cx="685800" cy="754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0" cy="754380"/>
                    </a:xfrm>
                    <a:prstGeom prst="rect">
                      <a:avLst/>
                    </a:prstGeom>
                    <a:noFill/>
                  </pic:spPr>
                </pic:pic>
              </a:graphicData>
            </a:graphic>
          </wp:anchor>
        </w:drawing>
      </w:r>
    </w:p>
    <w:p>
      <w:pPr>
        <w:ind w:left="1980" w:right="60"/>
        <w:spacing w:after="0" w:line="258" w:lineRule="auto"/>
        <w:rPr>
          <w:sz w:val="20"/>
          <w:szCs w:val="20"/>
          <w:color w:val="auto"/>
        </w:rPr>
      </w:pPr>
      <w:r>
        <w:rPr>
          <w:rFonts w:ascii="Arial" w:cs="Arial" w:eastAsia="Arial" w:hAnsi="Arial"/>
          <w:sz w:val="16"/>
          <w:szCs w:val="16"/>
          <w:b w:val="1"/>
          <w:bCs w:val="1"/>
          <w:color w:val="auto"/>
        </w:rPr>
        <w:t>Committees Served: Compensation (chair); Cybersecurity, Technology and Innovation; Nominating and Corporate Governance</w:t>
      </w:r>
    </w:p>
    <w:p>
      <w:pPr>
        <w:spacing w:after="0" w:line="101"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6"/>
          <w:szCs w:val="16"/>
          <w:color w:val="auto"/>
        </w:rPr>
        <w:t>Mr. Marino was appointed to the Board in February 2020. Mr. Marino brings 40 years of experience in the consumer retail finance industry, most recently serving as Executive Vice President, CEO — Payment Solutions and Chief Commercial Officer of Synchrony Financial, Inc., a leading financial services company, from 2014 until 2018. Prior to the spin-off in 2014 of Synchrony by General Electric Corporation, Mr. Marino was an executive with the North American retail finance business of General Electric, serving as CEO — Payment Solutions and Chief Commercial Officer from 2012 to 2013, and CEO — Sales Finance from 2001 to 2011. From 1999 to 2001, Mr. Marino served as CEO of Monogram Credit Services, a joint venture between GE and BankOne (now JPMorgan Chase &amp; Co.). Prior to that, Mr. Marino held various roles of increasing responsibility in finance, business development, credit risk, and marketing with General Electric and Citibank. Mr. Marino served as a director and member of the Compensation Committee and Risk Committee of PRA Group, Inc. (NASDAQ: PRAA) from 2024 to 2025.</w:t>
      </w:r>
    </w:p>
    <w:p>
      <w:pPr>
        <w:spacing w:after="0" w:line="109" w:lineRule="exact"/>
        <w:rPr>
          <w:sz w:val="20"/>
          <w:szCs w:val="20"/>
          <w:color w:val="auto"/>
        </w:rPr>
      </w:pPr>
    </w:p>
    <w:p>
      <w:pPr>
        <w:jc w:val="both"/>
        <w:ind w:left="760" w:right="20"/>
        <w:spacing w:after="0" w:line="304" w:lineRule="auto"/>
        <w:rPr>
          <w:sz w:val="20"/>
          <w:szCs w:val="20"/>
          <w:color w:val="auto"/>
        </w:rPr>
      </w:pPr>
      <w:r>
        <w:rPr>
          <w:rFonts w:ascii="Arial" w:cs="Arial" w:eastAsia="Arial" w:hAnsi="Arial"/>
          <w:sz w:val="16"/>
          <w:szCs w:val="16"/>
          <w:color w:val="auto"/>
        </w:rPr>
        <w:t>We believe Mr. Marino’s extensive knowledge in retail finance, business development, and banking and his consumer finance regulatory experience provide a valuable perspective to our Board as we continue to pursue our strategic growth objectives.</w:t>
      </w:r>
    </w:p>
    <w:p>
      <w:pPr>
        <w:spacing w:after="0" w:line="106"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60" w:type="dxa"/>
            <w:vAlign w:val="bottom"/>
          </w:tcPr>
          <w:p>
            <w:pPr>
              <w:spacing w:after="0"/>
              <w:rPr>
                <w:sz w:val="20"/>
                <w:szCs w:val="20"/>
                <w:color w:val="auto"/>
              </w:rPr>
            </w:pPr>
            <w:r>
              <w:rPr>
                <w:rFonts w:ascii="Arial" w:cs="Arial" w:eastAsia="Arial" w:hAnsi="Arial"/>
                <w:sz w:val="17"/>
                <w:szCs w:val="17"/>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Carol McFate</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5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Independent Director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76"/>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960" w:type="dxa"/>
            <w:vAlign w:val="bottom"/>
          </w:tcPr>
          <w:p>
            <w:pPr>
              <w:spacing w:after="0" w:line="175" w:lineRule="exact"/>
              <w:rPr>
                <w:sz w:val="20"/>
                <w:szCs w:val="20"/>
                <w:color w:val="auto"/>
              </w:rPr>
            </w:pPr>
            <w:r>
              <w:rPr>
                <w:rFonts w:ascii="Arial" w:cs="Arial" w:eastAsia="Arial" w:hAnsi="Arial"/>
                <w:sz w:val="16"/>
                <w:szCs w:val="16"/>
                <w:b w:val="1"/>
                <w:bCs w:val="1"/>
                <w:color w:val="auto"/>
              </w:rPr>
              <w:t>Age: 73</w:t>
            </w:r>
          </w:p>
        </w:tc>
        <w:tc>
          <w:tcPr>
            <w:tcW w:w="40" w:type="dxa"/>
            <w:vAlign w:val="bottom"/>
          </w:tcPr>
          <w:p>
            <w:pPr>
              <w:spacing w:after="0"/>
              <w:rPr>
                <w:sz w:val="15"/>
                <w:szCs w:val="15"/>
                <w:color w:val="auto"/>
              </w:rPr>
            </w:pPr>
          </w:p>
        </w:tc>
      </w:tr>
      <w:tr>
        <w:trPr>
          <w:trHeight w:val="189"/>
        </w:trPr>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Director Since: 2019</w:t>
            </w:r>
          </w:p>
        </w:tc>
        <w:tc>
          <w:tcPr>
            <w:tcW w:w="40" w:type="dxa"/>
            <w:vAlign w:val="bottom"/>
          </w:tcPr>
          <w:p>
            <w:pPr>
              <w:spacing w:after="0"/>
              <w:rPr>
                <w:sz w:val="16"/>
                <w:szCs w:val="16"/>
                <w:color w:val="auto"/>
              </w:rPr>
            </w:pPr>
          </w:p>
        </w:tc>
      </w:tr>
      <w:tr>
        <w:trPr>
          <w:trHeight w:val="223"/>
        </w:trPr>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Committees Served: Audit &amp; Risk; Nominating and Corporate Governance (chair)</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-645795</wp:posOffset>
            </wp:positionV>
            <wp:extent cx="685800" cy="754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 cy="754380"/>
                    </a:xfrm>
                    <a:prstGeom prst="rect">
                      <a:avLst/>
                    </a:prstGeom>
                    <a:noFill/>
                  </pic:spPr>
                </pic:pic>
              </a:graphicData>
            </a:graphic>
          </wp:anchor>
        </w:drawing>
      </w:r>
    </w:p>
    <w:p>
      <w:pPr>
        <w:spacing w:after="0" w:line="270" w:lineRule="exact"/>
        <w:rPr>
          <w:sz w:val="20"/>
          <w:szCs w:val="20"/>
          <w:color w:val="auto"/>
        </w:rPr>
      </w:pPr>
    </w:p>
    <w:p>
      <w:pPr>
        <w:jc w:val="both"/>
        <w:ind w:left="760" w:right="20"/>
        <w:spacing w:after="0" w:line="262" w:lineRule="auto"/>
        <w:rPr>
          <w:sz w:val="20"/>
          <w:szCs w:val="20"/>
          <w:color w:val="auto"/>
        </w:rPr>
      </w:pPr>
      <w:r>
        <w:rPr>
          <w:rFonts w:ascii="Arial" w:cs="Arial" w:eastAsia="Arial" w:hAnsi="Arial"/>
          <w:sz w:val="16"/>
          <w:szCs w:val="16"/>
          <w:color w:val="auto"/>
        </w:rPr>
        <w:t>Ms. McFate served from 2006 until 2017 as the Chief Investment Officer of Xerox Corporation, a multinational provider of multifunction document management systems and services, managing retirement assets for North American and United Kingdom plans. Previously, Ms. McFate served in various senior executive finance and treasury roles for several prominent insurance and financial services companies, including XL Capital Ltd., a Bermuda-based global insurance and reinsurance company, American International Group, Inc., an American multinational property &amp; casualty insurance, life insurance, and financial services provider, and Prudential Insurance Company of America, an American Fortune Global 500 and Fortune 500 company whose subsidiaries provide life insurance, investment management and other financial products and services to both retail and institutional customers in the U.S. and over 30 other countries. Ms. McFate is a Chartered Financial Analyst. Ms. McFate previously served as a director, member of the Audit &amp; Risk Committee and Human Resources Committee and as the chair of the Investment Committee of Argo Group International Holdings, Ltd from 2020 to 2023. Argo was sold to Brookfield Reinsurance, a subsidiary of Brookfield Asset management in November 2023.</w:t>
      </w:r>
    </w:p>
    <w:p>
      <w:pPr>
        <w:spacing w:after="0" w:line="113" w:lineRule="exact"/>
        <w:rPr>
          <w:sz w:val="20"/>
          <w:szCs w:val="20"/>
          <w:color w:val="auto"/>
        </w:rPr>
      </w:pPr>
    </w:p>
    <w:p>
      <w:pPr>
        <w:jc w:val="both"/>
        <w:ind w:left="760" w:right="20"/>
        <w:spacing w:after="0" w:line="304" w:lineRule="auto"/>
        <w:rPr>
          <w:sz w:val="20"/>
          <w:szCs w:val="20"/>
          <w:color w:val="auto"/>
        </w:rPr>
      </w:pPr>
      <w:r>
        <w:rPr>
          <w:rFonts w:ascii="Arial" w:cs="Arial" w:eastAsia="Arial" w:hAnsi="Arial"/>
          <w:sz w:val="16"/>
          <w:szCs w:val="16"/>
          <w:color w:val="auto"/>
        </w:rPr>
        <w:t>Ms. McFate brings over 40 years of global corporate finance experience and a varied viewpoint to the Board which we believe supports us in our strategic initiatives and enhances our long-term vision, sustainable growth and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60" w:hanging="398"/>
        <w:spacing w:after="0"/>
        <w:tabs>
          <w:tab w:leader="none" w:pos="116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PROPOSAL ONE: ELECTION OF DIRECTORS​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Board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The matrix below summarizes certain of the key experiences, qualifications, skills, and attributes that our director nominees possess and bring to the Board to enable effective oversight. This matrix is intended to provide a summary of our director nominees’ qualifications and is not a comprehensive list of each director nominee’s strengths or contributions to the Board. Please refer to each director’s biographical information above in this proxy statement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98425</wp:posOffset>
            </wp:positionV>
            <wp:extent cx="5358130" cy="2648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5813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40"/>
        <w:spacing w:after="0"/>
        <w:rPr>
          <w:sz w:val="20"/>
          <w:szCs w:val="20"/>
          <w:color w:val="auto"/>
        </w:rPr>
      </w:pPr>
      <w:r>
        <w:rPr>
          <w:rFonts w:ascii="Arial" w:cs="Arial" w:eastAsia="Arial" w:hAnsi="Arial"/>
          <w:sz w:val="40"/>
          <w:szCs w:val="40"/>
          <w:b w:val="1"/>
          <w:bCs w:val="1"/>
          <w:color w:val="auto"/>
        </w:rPr>
        <w:t>CORPORATE GOVERNANCE</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Our Board has established corporate governance practices designed to serve the best interests of our Company and our stockholders. In this regard, our Board has, among other things, adopted:</w:t>
      </w:r>
    </w:p>
    <w:p>
      <w:pPr>
        <w:spacing w:after="0" w:line="34" w:lineRule="exact"/>
        <w:rPr>
          <w:sz w:val="20"/>
          <w:szCs w:val="20"/>
          <w:color w:val="auto"/>
        </w:rPr>
      </w:pPr>
    </w:p>
    <w:p>
      <w:pPr>
        <w:ind w:left="940" w:hanging="178"/>
        <w:spacing w:after="0" w:line="304" w:lineRule="auto"/>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code of business conduct and ethics applicable to all members of our Board, as well as our employees, including our Chief Executive Officer, Chief Financial Officer, principal accounting officer and controller;</w:t>
      </w:r>
    </w:p>
    <w:p>
      <w:pPr>
        <w:spacing w:after="0" w:line="33" w:lineRule="exact"/>
        <w:rPr>
          <w:rFonts w:ascii="Arial" w:cs="Arial" w:eastAsia="Arial" w:hAnsi="Arial"/>
          <w:sz w:val="16"/>
          <w:szCs w:val="16"/>
          <w:color w:val="auto"/>
        </w:rPr>
      </w:pPr>
    </w:p>
    <w:p>
      <w:pPr>
        <w:ind w:left="940" w:hanging="17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separation of the Chairman and Chief Executive Officer roles;</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majority voting standard in non-contested elections for directors;</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annual elections for all directors;</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policy for the submission of complaints or concerns relating to accounting, internal accounting controls or auditing matters;</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provisions in our bylaws regarding director candidate nominations and other proposals by stockholders;</w:t>
      </w:r>
    </w:p>
    <w:p>
      <w:pPr>
        <w:spacing w:after="0" w:line="113"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written charters for its Audit &amp; Risk Committee, Compensation Committee, Nominating and Corporate Governance Committee and Cybersecurity, Technology and Innovation Committee;</w:t>
      </w:r>
    </w:p>
    <w:p>
      <w:pPr>
        <w:spacing w:after="0" w:line="33" w:lineRule="exact"/>
        <w:rPr>
          <w:rFonts w:ascii="Arial" w:cs="Arial" w:eastAsia="Arial" w:hAnsi="Arial"/>
          <w:sz w:val="16"/>
          <w:szCs w:val="16"/>
          <w:color w:val="auto"/>
        </w:rPr>
      </w:pPr>
    </w:p>
    <w:p>
      <w:pPr>
        <w:ind w:left="940" w:hanging="17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procedures regarding stockholder communications with our Board and its committees; and</w:t>
      </w:r>
    </w:p>
    <w:p>
      <w:pPr>
        <w:spacing w:after="0" w:line="126" w:lineRule="exact"/>
        <w:rPr>
          <w:rFonts w:ascii="Arial" w:cs="Arial" w:eastAsia="Arial" w:hAnsi="Arial"/>
          <w:sz w:val="16"/>
          <w:szCs w:val="16"/>
          <w:color w:val="auto"/>
        </w:rPr>
      </w:pPr>
    </w:p>
    <w:p>
      <w:pPr>
        <w:ind w:left="940" w:hanging="178"/>
        <w:spacing w:after="0" w:line="263" w:lineRule="auto"/>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policies regarding the entry by our Company and its subsidiaries into transactions with certain persons related to our Company.</w:t>
      </w:r>
    </w:p>
    <w:p>
      <w:pPr>
        <w:spacing w:after="0" w:line="338"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color w:val="auto"/>
        </w:rPr>
        <w:t>Our Board monitors developing standards in the corporate governance area and, if appropriate, modifies our policies and procedures with respect to such standards. In addition, our Board will continue to review and modify our policies and procedures as appropriate to comply with any new requirements of the SEC or Nasdaq and taking into consideration any feedback received from our stockholders.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28" w:lineRule="exact"/>
        <w:rPr>
          <w:sz w:val="20"/>
          <w:szCs w:val="20"/>
          <w:color w:val="auto"/>
        </w:rPr>
      </w:pPr>
    </w:p>
    <w:p>
      <w:pPr>
        <w:jc w:val="both"/>
        <w:ind w:left="760"/>
        <w:spacing w:after="0" w:line="223" w:lineRule="auto"/>
        <w:rPr>
          <w:sz w:val="20"/>
          <w:szCs w:val="20"/>
          <w:color w:val="auto"/>
        </w:rPr>
      </w:pPr>
      <w:r>
        <w:rPr>
          <w:rFonts w:ascii="Arial" w:cs="Arial" w:eastAsia="Arial" w:hAnsi="Arial"/>
          <w:sz w:val="18"/>
          <w:szCs w:val="18"/>
          <w:color w:val="auto"/>
        </w:rPr>
        <w:t xml:space="preserve">Our Board has adopted a Code of Business Conduct and Ethics applicable to all members of our Board, as well as our employees, including our Chief Executive Officer, Chief Financial Officer, principal accounting officer and controller. The Code of Business Conduct and Ethics forms the foundation of a compliance program we have established as part of our commitment to responsible business practices that includes policies, training, monitoring and other components covering a wide variety of specific areas applicable to our business activities and employee conduct. A copy of the Code of Business Conduct and Ethics is published on our website at </w:t>
      </w:r>
      <w:r>
        <w:rPr>
          <w:rFonts w:ascii="Arial" w:cs="Arial" w:eastAsia="Arial" w:hAnsi="Arial"/>
          <w:sz w:val="18"/>
          <w:szCs w:val="18"/>
          <w:i w:val="1"/>
          <w:iCs w:val="1"/>
          <w:color w:val="auto"/>
        </w:rPr>
        <w:t>https://investor.upbound.com/corporate-governance/governance-documents</w:t>
      </w:r>
      <w:r>
        <w:rPr>
          <w:rFonts w:ascii="Arial" w:cs="Arial" w:eastAsia="Arial" w:hAnsi="Arial"/>
          <w:sz w:val="18"/>
          <w:szCs w:val="18"/>
          <w:color w:val="auto"/>
        </w:rPr>
        <w:t>. We intend to make all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concerning any amendments to, or waivers from, this Code of Business Conduct and Ethics on our website. References in this proxy statement to our website address are provided only as a convenience and do not constitute, and should not be viewed as, an incorporation by reference of the information contained on, or available through, the website. Therefore, such information should not be considered part of this proxy statement.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Structure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Independent Chairman</w:t>
      </w:r>
    </w:p>
    <w:p>
      <w:pPr>
        <w:spacing w:after="0" w:line="149" w:lineRule="exact"/>
        <w:rPr>
          <w:sz w:val="20"/>
          <w:szCs w:val="20"/>
          <w:color w:val="auto"/>
        </w:rPr>
      </w:pPr>
    </w:p>
    <w:p>
      <w:pPr>
        <w:jc w:val="both"/>
        <w:ind w:left="760"/>
        <w:spacing w:after="0" w:line="250" w:lineRule="auto"/>
        <w:rPr>
          <w:sz w:val="20"/>
          <w:szCs w:val="20"/>
          <w:color w:val="auto"/>
        </w:rPr>
      </w:pPr>
      <w:r>
        <w:rPr>
          <w:rFonts w:ascii="Arial" w:cs="Arial" w:eastAsia="Arial" w:hAnsi="Arial"/>
          <w:sz w:val="16"/>
          <w:szCs w:val="16"/>
          <w:color w:val="auto"/>
        </w:rPr>
        <w:t>Our Board separates the roles of Chairman and Chief Executive Officer. Mr. Brown serves as Chairman, and Mr. Karam serves as our Chief Executive Officer. The Board believes that the separation of the roles of Chairman and Chief Executive Officer at this time is appropriate in light of Mr. Karam’s tenure as Chief Executive Officer and is in the best interests of the Company’s stockholders. Separating these positions aligns the Chairman role with our independent directors, enhances the independence of our Board from management and allows our Chief Executive Officer to focus on developing and implementing our strategic initiatives and supervising our day-to-day business operations. Our Board believes that Mr. Brown is well situated to serve as Chairman because of his experience serving on the boards of directors of other public companies, including as lead director of Medifast. As previously disclosed, Mr. Brown will not stand for re-election at Medifast’s 2026 annual meeting of stockholders and, as a result, his service on the board of directors of Medifast will end on or around May 19, 2026. Mr. Brown is voluntarily stepping down in connection with Medifast’s cooperation agreement with</w:t>
      </w:r>
    </w:p>
    <w:p>
      <w:pPr>
        <w:spacing w:after="0" w:line="200" w:lineRule="exact"/>
        <w:rPr>
          <w:sz w:val="20"/>
          <w:szCs w:val="20"/>
          <w:color w:val="auto"/>
        </w:rPr>
      </w:pPr>
    </w:p>
    <w:p>
      <w:pPr>
        <w:spacing w:after="0" w:line="25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14</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right="720"/>
        <w:spacing w:after="0"/>
        <w:rPr>
          <w:sz w:val="20"/>
          <w:szCs w:val="20"/>
          <w:color w:val="auto"/>
        </w:rPr>
      </w:pPr>
      <w:r>
        <w:rPr>
          <w:rFonts w:ascii="Arial" w:cs="Arial" w:eastAsia="Arial" w:hAnsi="Arial"/>
          <w:sz w:val="16"/>
          <w:szCs w:val="16"/>
          <w:b w:val="1"/>
          <w:bCs w:val="1"/>
          <w:color w:val="auto"/>
        </w:rPr>
        <w:t>CORPORATE GOVERNANCE​</w:t>
      </w:r>
    </w:p>
    <w:p>
      <w:pPr>
        <w:spacing w:after="0" w:line="21" w:lineRule="exact"/>
        <w:rPr>
          <w:sz w:val="20"/>
          <w:szCs w:val="20"/>
          <w:color w:val="auto"/>
        </w:rPr>
      </w:pPr>
    </w:p>
    <w:p>
      <w:pPr>
        <w:jc w:val="right"/>
        <w:ind w:right="720"/>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760" w:right="780"/>
        <w:spacing w:after="0" w:line="286" w:lineRule="auto"/>
        <w:rPr>
          <w:sz w:val="20"/>
          <w:szCs w:val="20"/>
          <w:color w:val="auto"/>
        </w:rPr>
      </w:pPr>
      <w:r>
        <w:rPr>
          <w:rFonts w:ascii="Arial" w:cs="Arial" w:eastAsia="Arial" w:hAnsi="Arial"/>
          <w:sz w:val="16"/>
          <w:szCs w:val="16"/>
          <w:color w:val="auto"/>
        </w:rPr>
        <w:t>Steamboat Capital Partners LLC. Mr. Brown works closely with our Chief Executive Officer to set the agenda for Board meetings and to coordinate information flow between the Board and management.</w:t>
      </w:r>
    </w:p>
    <w:p>
      <w:pPr>
        <w:spacing w:after="0" w:line="102" w:lineRule="exact"/>
        <w:rPr>
          <w:sz w:val="20"/>
          <w:szCs w:val="20"/>
          <w:color w:val="auto"/>
        </w:rPr>
      </w:pPr>
    </w:p>
    <w:p>
      <w:pPr>
        <w:jc w:val="both"/>
        <w:ind w:left="760" w:right="760"/>
        <w:spacing w:after="0" w:line="271" w:lineRule="auto"/>
        <w:rPr>
          <w:sz w:val="20"/>
          <w:szCs w:val="20"/>
          <w:color w:val="auto"/>
        </w:rPr>
      </w:pPr>
      <w:r>
        <w:rPr>
          <w:rFonts w:ascii="Arial" w:cs="Arial" w:eastAsia="Arial" w:hAnsi="Arial"/>
          <w:sz w:val="16"/>
          <w:szCs w:val="16"/>
          <w:color w:val="auto"/>
        </w:rPr>
        <w:t>Our Board understands that there is no single, generally accepted approach to providing Board leadership and that, given the dynamic and competitive environment in which we operate, the right Board leadership structure may vary based on the situation. Our Board will review its determination to separate the roles of Chairman and Chief Executive Officer periodically or as circumstances and events may require.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Independent Directors</w:t>
      </w:r>
    </w:p>
    <w:p>
      <w:pPr>
        <w:spacing w:after="0" w:line="162" w:lineRule="exact"/>
        <w:rPr>
          <w:sz w:val="20"/>
          <w:szCs w:val="20"/>
          <w:color w:val="auto"/>
        </w:rPr>
      </w:pPr>
    </w:p>
    <w:p>
      <w:pPr>
        <w:jc w:val="both"/>
        <w:ind w:left="760" w:right="760"/>
        <w:spacing w:after="0" w:line="264" w:lineRule="auto"/>
        <w:rPr>
          <w:sz w:val="20"/>
          <w:szCs w:val="20"/>
          <w:color w:val="auto"/>
        </w:rPr>
      </w:pPr>
      <w:r>
        <w:rPr>
          <w:rFonts w:ascii="Arial" w:cs="Arial" w:eastAsia="Arial" w:hAnsi="Arial"/>
          <w:sz w:val="16"/>
          <w:szCs w:val="16"/>
          <w:color w:val="auto"/>
        </w:rPr>
        <w:t>As part of the Company’s corporate governance practices, and in accordance with Nasdaq rules, the Board has established a policy requiring a majority of the members of the Board to be independent. In the first quarter of 2026, each of our non-employee directors completed a questionnaire which inquired as to their relationship (and the relationships of their immediate family members) with us and other potential conflicts of interest. Taking into account our review of the responses to this questionnaire process and such other due consideration and diligence as it deemed appropriate, our Board met to discuss the independence of those non-employee directors. Following such discussions and based on the recommendations of the Nominating and Corporate Governance Committee, our Board determined that the following directors are “independent” as defined under Nasdaq rules: Jeffrey Brown, Charu Jain, Molly Langenstein, Harold Lewis, Glenn Marino and Carol McFate.</w:t>
      </w:r>
    </w:p>
    <w:p>
      <w:pPr>
        <w:spacing w:after="0" w:line="109" w:lineRule="exact"/>
        <w:rPr>
          <w:sz w:val="20"/>
          <w:szCs w:val="20"/>
          <w:color w:val="auto"/>
        </w:rPr>
      </w:pPr>
    </w:p>
    <w:p>
      <w:pPr>
        <w:jc w:val="both"/>
        <w:ind w:left="760" w:right="760"/>
        <w:spacing w:after="0" w:line="292" w:lineRule="auto"/>
        <w:rPr>
          <w:sz w:val="20"/>
          <w:szCs w:val="20"/>
          <w:color w:val="auto"/>
        </w:rPr>
      </w:pPr>
      <w:r>
        <w:rPr>
          <w:rFonts w:ascii="Arial" w:cs="Arial" w:eastAsia="Arial" w:hAnsi="Arial"/>
          <w:sz w:val="16"/>
          <w:szCs w:val="16"/>
          <w:color w:val="auto"/>
        </w:rPr>
        <w:t>The table below includes a description of categories or types of transactions, relationships or arrangements, if any, considered by our Board in reaching its determination that the directors are independent.</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389"/>
        </w:trPr>
        <w:tc>
          <w:tcPr>
            <w:tcW w:w="1580" w:type="dxa"/>
            <w:vAlign w:val="bottom"/>
            <w:tcBorders>
              <w:bottom w:val="single" w:sz="8" w:color="auto"/>
            </w:tcBorders>
          </w:tcPr>
          <w:p>
            <w:pPr>
              <w:spacing w:after="0"/>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Name</w:t>
            </w:r>
          </w:p>
        </w:tc>
        <w:tc>
          <w:tcPr>
            <w:tcW w:w="6080" w:type="dxa"/>
            <w:vAlign w:val="bottom"/>
            <w:tcBorders>
              <w:bottom w:val="single" w:sz="8" w:color="auto"/>
            </w:tcBorders>
            <w:gridSpan w:val="4"/>
          </w:tcPr>
          <w:p>
            <w:pPr>
              <w:ind w:left="240"/>
              <w:spacing w:after="0"/>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5"/>
                <w:szCs w:val="15"/>
                <w:b w:val="1"/>
                <w:bCs w:val="1"/>
                <w:color w:val="auto"/>
              </w:rPr>
              <w:t xml:space="preserve"> Independent</w:t>
            </w:r>
            <w:r>
              <w:rPr>
                <w:rFonts w:ascii="Arial" w:cs="Arial" w:eastAsia="Arial" w:hAnsi="Arial"/>
                <w:sz w:val="30"/>
                <w:szCs w:val="30"/>
                <w:b w:val="1"/>
                <w:bCs w:val="1"/>
                <w:color w:val="auto"/>
                <w:vertAlign w:val="subscript"/>
              </w:rPr>
              <w:t>​ ​</w:t>
            </w:r>
            <w:r>
              <w:rPr>
                <w:rFonts w:ascii="Arial" w:cs="Arial" w:eastAsia="Arial" w:hAnsi="Arial"/>
                <w:sz w:val="15"/>
                <w:szCs w:val="15"/>
                <w:b w:val="1"/>
                <w:bCs w:val="1"/>
                <w:color w:val="auto"/>
              </w:rPr>
              <w:t xml:space="preserve"> Transactions/Relationships/Arrangements</w:t>
            </w:r>
          </w:p>
        </w:tc>
        <w:tc>
          <w:tcPr>
            <w:tcW w:w="1540" w:type="dxa"/>
            <w:vAlign w:val="bottom"/>
            <w:tcBorders>
              <w:bottom w:val="single" w:sz="8" w:color="auto"/>
            </w:tcBorders>
          </w:tcPr>
          <w:p>
            <w:pPr>
              <w:ind w:left="1420"/>
              <w:spacing w:after="0"/>
              <w:rPr>
                <w:sz w:val="20"/>
                <w:szCs w:val="20"/>
                <w:color w:val="auto"/>
              </w:rPr>
            </w:pPr>
            <w:r>
              <w:rPr>
                <w:rFonts w:ascii="Arial" w:cs="Arial" w:eastAsia="Arial" w:hAnsi="Arial"/>
                <w:sz w:val="15"/>
                <w:szCs w:val="15"/>
                <w:b w:val="1"/>
                <w:bCs w:val="1"/>
                <w:color w:val="auto"/>
              </w:rPr>
              <w:t>​</w:t>
            </w:r>
          </w:p>
        </w:tc>
      </w:tr>
      <w:tr>
        <w:trPr>
          <w:trHeight w:val="223"/>
        </w:trPr>
        <w:tc>
          <w:tcPr>
            <w:tcW w:w="1580" w:type="dxa"/>
            <w:vAlign w:val="bottom"/>
            <w:shd w:val="clear" w:color="auto" w:fill="E5E5E5"/>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Jeffrey Brown</w:t>
            </w:r>
          </w:p>
        </w:tc>
        <w:tc>
          <w:tcPr>
            <w:tcW w:w="580" w:type="dxa"/>
            <w:vAlign w:val="bottom"/>
            <w:shd w:val="clear" w:color="auto" w:fill="E5E5E5"/>
          </w:tcPr>
          <w:p>
            <w:pPr>
              <w:ind w:left="240"/>
              <w:spacing w:after="0"/>
              <w:rPr>
                <w:sz w:val="20"/>
                <w:szCs w:val="20"/>
                <w:color w:val="auto"/>
              </w:rPr>
            </w:pPr>
            <w:r>
              <w:rPr>
                <w:rFonts w:ascii="Arial" w:cs="Arial" w:eastAsia="Arial" w:hAnsi="Arial"/>
                <w:sz w:val="15"/>
                <w:szCs w:val="15"/>
                <w:color w:val="auto"/>
              </w:rPr>
              <w:t>​ ​</w:t>
            </w:r>
          </w:p>
        </w:tc>
        <w:tc>
          <w:tcPr>
            <w:tcW w:w="620" w:type="dxa"/>
            <w:vAlign w:val="bottom"/>
            <w:shd w:val="clear" w:color="auto" w:fill="E5E5E5"/>
          </w:tcPr>
          <w:p>
            <w:pPr>
              <w:ind w:left="200"/>
              <w:spacing w:after="0"/>
              <w:rPr>
                <w:sz w:val="20"/>
                <w:szCs w:val="20"/>
                <w:color w:val="auto"/>
              </w:rPr>
            </w:pPr>
            <w:r>
              <w:rPr>
                <w:rFonts w:ascii="Arial" w:cs="Arial" w:eastAsia="Arial" w:hAnsi="Arial"/>
                <w:sz w:val="15"/>
                <w:szCs w:val="15"/>
                <w:color w:val="auto"/>
              </w:rPr>
              <w:t>Yes</w:t>
            </w:r>
          </w:p>
        </w:tc>
        <w:tc>
          <w:tcPr>
            <w:tcW w:w="9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 ​</w:t>
            </w:r>
          </w:p>
        </w:tc>
        <w:tc>
          <w:tcPr>
            <w:tcW w:w="3920" w:type="dxa"/>
            <w:vAlign w:val="bottom"/>
            <w:shd w:val="clear" w:color="auto" w:fill="E5E5E5"/>
          </w:tcPr>
          <w:p>
            <w:pPr>
              <w:ind w:left="640"/>
              <w:spacing w:after="0"/>
              <w:rPr>
                <w:sz w:val="20"/>
                <w:szCs w:val="20"/>
                <w:color w:val="auto"/>
              </w:rPr>
            </w:pPr>
            <w:r>
              <w:rPr>
                <w:rFonts w:ascii="Arial" w:cs="Arial" w:eastAsia="Arial" w:hAnsi="Arial"/>
                <w:sz w:val="15"/>
                <w:szCs w:val="15"/>
                <w:color w:val="auto"/>
              </w:rPr>
              <w:t>None</w:t>
            </w:r>
          </w:p>
        </w:tc>
        <w:tc>
          <w:tcPr>
            <w:tcW w:w="1540" w:type="dxa"/>
            <w:vAlign w:val="bottom"/>
            <w:shd w:val="clear" w:color="auto" w:fill="E5E5E5"/>
          </w:tcPr>
          <w:p>
            <w:pPr>
              <w:ind w:left="1420"/>
              <w:spacing w:after="0"/>
              <w:rPr>
                <w:sz w:val="20"/>
                <w:szCs w:val="20"/>
                <w:color w:val="auto"/>
              </w:rPr>
            </w:pPr>
            <w:r>
              <w:rPr>
                <w:rFonts w:ascii="Arial" w:cs="Arial" w:eastAsia="Arial" w:hAnsi="Arial"/>
                <w:sz w:val="15"/>
                <w:szCs w:val="15"/>
                <w:color w:val="auto"/>
              </w:rPr>
              <w:t>​</w:t>
            </w:r>
          </w:p>
        </w:tc>
      </w:tr>
      <w:tr>
        <w:trPr>
          <w:trHeight w:val="230"/>
        </w:trPr>
        <w:tc>
          <w:tcPr>
            <w:tcW w:w="1580" w:type="dxa"/>
            <w:vAlign w:val="bottom"/>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Charu Jain</w:t>
            </w:r>
          </w:p>
        </w:tc>
        <w:tc>
          <w:tcPr>
            <w:tcW w:w="580" w:type="dxa"/>
            <w:vAlign w:val="bottom"/>
          </w:tcPr>
          <w:p>
            <w:pPr>
              <w:ind w:left="240"/>
              <w:spacing w:after="0"/>
              <w:rPr>
                <w:sz w:val="20"/>
                <w:szCs w:val="20"/>
                <w:color w:val="auto"/>
              </w:rPr>
            </w:pPr>
            <w:r>
              <w:rPr>
                <w:rFonts w:ascii="Arial" w:cs="Arial" w:eastAsia="Arial" w:hAnsi="Arial"/>
                <w:sz w:val="15"/>
                <w:szCs w:val="15"/>
                <w:color w:val="auto"/>
              </w:rPr>
              <w:t>​ ​</w:t>
            </w:r>
          </w:p>
        </w:tc>
        <w:tc>
          <w:tcPr>
            <w:tcW w:w="620" w:type="dxa"/>
            <w:vAlign w:val="bottom"/>
          </w:tcPr>
          <w:p>
            <w:pPr>
              <w:ind w:left="200"/>
              <w:spacing w:after="0"/>
              <w:rPr>
                <w:sz w:val="20"/>
                <w:szCs w:val="20"/>
                <w:color w:val="auto"/>
              </w:rPr>
            </w:pPr>
            <w:r>
              <w:rPr>
                <w:rFonts w:ascii="Arial" w:cs="Arial" w:eastAsia="Arial" w:hAnsi="Arial"/>
                <w:sz w:val="15"/>
                <w:szCs w:val="15"/>
                <w:color w:val="auto"/>
              </w:rPr>
              <w:t>Yes</w:t>
            </w:r>
          </w:p>
        </w:tc>
        <w:tc>
          <w:tcPr>
            <w:tcW w:w="960" w:type="dxa"/>
            <w:vAlign w:val="bottom"/>
          </w:tcPr>
          <w:p>
            <w:pPr>
              <w:ind w:left="160"/>
              <w:spacing w:after="0"/>
              <w:rPr>
                <w:sz w:val="20"/>
                <w:szCs w:val="20"/>
                <w:color w:val="auto"/>
              </w:rPr>
            </w:pPr>
            <w:r>
              <w:rPr>
                <w:rFonts w:ascii="Arial" w:cs="Arial" w:eastAsia="Arial" w:hAnsi="Arial"/>
                <w:sz w:val="15"/>
                <w:szCs w:val="15"/>
                <w:color w:val="auto"/>
              </w:rPr>
              <w:t>​ ​</w:t>
            </w:r>
          </w:p>
        </w:tc>
        <w:tc>
          <w:tcPr>
            <w:tcW w:w="3920" w:type="dxa"/>
            <w:vAlign w:val="bottom"/>
          </w:tcPr>
          <w:p>
            <w:pPr>
              <w:ind w:left="640"/>
              <w:spacing w:after="0"/>
              <w:rPr>
                <w:sz w:val="20"/>
                <w:szCs w:val="20"/>
                <w:color w:val="auto"/>
              </w:rPr>
            </w:pPr>
            <w:r>
              <w:rPr>
                <w:rFonts w:ascii="Arial" w:cs="Arial" w:eastAsia="Arial" w:hAnsi="Arial"/>
                <w:sz w:val="15"/>
                <w:szCs w:val="15"/>
                <w:color w:val="auto"/>
              </w:rPr>
              <w:t>None</w:t>
            </w:r>
          </w:p>
        </w:tc>
        <w:tc>
          <w:tcPr>
            <w:tcW w:w="1540" w:type="dxa"/>
            <w:vAlign w:val="bottom"/>
          </w:tcPr>
          <w:p>
            <w:pPr>
              <w:ind w:left="1420"/>
              <w:spacing w:after="0"/>
              <w:rPr>
                <w:sz w:val="20"/>
                <w:szCs w:val="20"/>
                <w:color w:val="auto"/>
              </w:rPr>
            </w:pPr>
            <w:r>
              <w:rPr>
                <w:rFonts w:ascii="Arial" w:cs="Arial" w:eastAsia="Arial" w:hAnsi="Arial"/>
                <w:sz w:val="15"/>
                <w:szCs w:val="15"/>
                <w:color w:val="auto"/>
              </w:rPr>
              <w:t>​</w:t>
            </w:r>
          </w:p>
        </w:tc>
      </w:tr>
      <w:tr>
        <w:trPr>
          <w:trHeight w:val="229"/>
        </w:trPr>
        <w:tc>
          <w:tcPr>
            <w:tcW w:w="1580" w:type="dxa"/>
            <w:vAlign w:val="bottom"/>
            <w:shd w:val="clear" w:color="auto" w:fill="E5E5E5"/>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Molly Langenstein</w:t>
            </w:r>
          </w:p>
        </w:tc>
        <w:tc>
          <w:tcPr>
            <w:tcW w:w="580" w:type="dxa"/>
            <w:vAlign w:val="bottom"/>
            <w:shd w:val="clear" w:color="auto" w:fill="E5E5E5"/>
          </w:tcPr>
          <w:p>
            <w:pPr>
              <w:ind w:left="240"/>
              <w:spacing w:after="0"/>
              <w:rPr>
                <w:sz w:val="20"/>
                <w:szCs w:val="20"/>
                <w:color w:val="auto"/>
              </w:rPr>
            </w:pPr>
            <w:r>
              <w:rPr>
                <w:rFonts w:ascii="Arial" w:cs="Arial" w:eastAsia="Arial" w:hAnsi="Arial"/>
                <w:sz w:val="15"/>
                <w:szCs w:val="15"/>
                <w:color w:val="auto"/>
              </w:rPr>
              <w:t>​ ​</w:t>
            </w:r>
          </w:p>
        </w:tc>
        <w:tc>
          <w:tcPr>
            <w:tcW w:w="620" w:type="dxa"/>
            <w:vAlign w:val="bottom"/>
            <w:shd w:val="clear" w:color="auto" w:fill="E5E5E5"/>
          </w:tcPr>
          <w:p>
            <w:pPr>
              <w:ind w:left="200"/>
              <w:spacing w:after="0"/>
              <w:rPr>
                <w:sz w:val="20"/>
                <w:szCs w:val="20"/>
                <w:color w:val="auto"/>
              </w:rPr>
            </w:pPr>
            <w:r>
              <w:rPr>
                <w:rFonts w:ascii="Arial" w:cs="Arial" w:eastAsia="Arial" w:hAnsi="Arial"/>
                <w:sz w:val="15"/>
                <w:szCs w:val="15"/>
                <w:color w:val="auto"/>
              </w:rPr>
              <w:t>Yes</w:t>
            </w:r>
          </w:p>
        </w:tc>
        <w:tc>
          <w:tcPr>
            <w:tcW w:w="9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 ​</w:t>
            </w:r>
          </w:p>
        </w:tc>
        <w:tc>
          <w:tcPr>
            <w:tcW w:w="3920" w:type="dxa"/>
            <w:vAlign w:val="bottom"/>
            <w:shd w:val="clear" w:color="auto" w:fill="E5E5E5"/>
          </w:tcPr>
          <w:p>
            <w:pPr>
              <w:ind w:left="640"/>
              <w:spacing w:after="0"/>
              <w:rPr>
                <w:sz w:val="20"/>
                <w:szCs w:val="20"/>
                <w:color w:val="auto"/>
              </w:rPr>
            </w:pPr>
            <w:r>
              <w:rPr>
                <w:rFonts w:ascii="Arial" w:cs="Arial" w:eastAsia="Arial" w:hAnsi="Arial"/>
                <w:sz w:val="15"/>
                <w:szCs w:val="15"/>
                <w:color w:val="auto"/>
              </w:rPr>
              <w:t>None</w:t>
            </w:r>
          </w:p>
        </w:tc>
        <w:tc>
          <w:tcPr>
            <w:tcW w:w="1540" w:type="dxa"/>
            <w:vAlign w:val="bottom"/>
            <w:shd w:val="clear" w:color="auto" w:fill="E5E5E5"/>
          </w:tcPr>
          <w:p>
            <w:pPr>
              <w:ind w:left="1420"/>
              <w:spacing w:after="0"/>
              <w:rPr>
                <w:sz w:val="20"/>
                <w:szCs w:val="20"/>
                <w:color w:val="auto"/>
              </w:rPr>
            </w:pPr>
            <w:r>
              <w:rPr>
                <w:rFonts w:ascii="Arial" w:cs="Arial" w:eastAsia="Arial" w:hAnsi="Arial"/>
                <w:sz w:val="15"/>
                <w:szCs w:val="15"/>
                <w:color w:val="auto"/>
              </w:rPr>
              <w:t>​</w:t>
            </w:r>
          </w:p>
        </w:tc>
      </w:tr>
      <w:tr>
        <w:trPr>
          <w:trHeight w:val="229"/>
        </w:trPr>
        <w:tc>
          <w:tcPr>
            <w:tcW w:w="1580" w:type="dxa"/>
            <w:vAlign w:val="bottom"/>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Harold Lewis</w:t>
            </w:r>
          </w:p>
        </w:tc>
        <w:tc>
          <w:tcPr>
            <w:tcW w:w="580" w:type="dxa"/>
            <w:vAlign w:val="bottom"/>
          </w:tcPr>
          <w:p>
            <w:pPr>
              <w:ind w:left="240"/>
              <w:spacing w:after="0"/>
              <w:rPr>
                <w:sz w:val="20"/>
                <w:szCs w:val="20"/>
                <w:color w:val="auto"/>
              </w:rPr>
            </w:pPr>
            <w:r>
              <w:rPr>
                <w:rFonts w:ascii="Arial" w:cs="Arial" w:eastAsia="Arial" w:hAnsi="Arial"/>
                <w:sz w:val="15"/>
                <w:szCs w:val="15"/>
                <w:color w:val="auto"/>
              </w:rPr>
              <w:t>​ ​</w:t>
            </w:r>
          </w:p>
        </w:tc>
        <w:tc>
          <w:tcPr>
            <w:tcW w:w="620" w:type="dxa"/>
            <w:vAlign w:val="bottom"/>
          </w:tcPr>
          <w:p>
            <w:pPr>
              <w:ind w:left="200"/>
              <w:spacing w:after="0"/>
              <w:rPr>
                <w:sz w:val="20"/>
                <w:szCs w:val="20"/>
                <w:color w:val="auto"/>
              </w:rPr>
            </w:pPr>
            <w:r>
              <w:rPr>
                <w:rFonts w:ascii="Arial" w:cs="Arial" w:eastAsia="Arial" w:hAnsi="Arial"/>
                <w:sz w:val="15"/>
                <w:szCs w:val="15"/>
                <w:color w:val="auto"/>
              </w:rPr>
              <w:t>Yes</w:t>
            </w:r>
          </w:p>
        </w:tc>
        <w:tc>
          <w:tcPr>
            <w:tcW w:w="960" w:type="dxa"/>
            <w:vAlign w:val="bottom"/>
          </w:tcPr>
          <w:p>
            <w:pPr>
              <w:ind w:left="160"/>
              <w:spacing w:after="0"/>
              <w:rPr>
                <w:sz w:val="20"/>
                <w:szCs w:val="20"/>
                <w:color w:val="auto"/>
              </w:rPr>
            </w:pPr>
            <w:r>
              <w:rPr>
                <w:rFonts w:ascii="Arial" w:cs="Arial" w:eastAsia="Arial" w:hAnsi="Arial"/>
                <w:sz w:val="15"/>
                <w:szCs w:val="15"/>
                <w:color w:val="auto"/>
              </w:rPr>
              <w:t>​ ​</w:t>
            </w:r>
          </w:p>
        </w:tc>
        <w:tc>
          <w:tcPr>
            <w:tcW w:w="3920" w:type="dxa"/>
            <w:vAlign w:val="bottom"/>
          </w:tcPr>
          <w:p>
            <w:pPr>
              <w:ind w:left="640"/>
              <w:spacing w:after="0"/>
              <w:rPr>
                <w:sz w:val="20"/>
                <w:szCs w:val="20"/>
                <w:color w:val="auto"/>
              </w:rPr>
            </w:pPr>
            <w:r>
              <w:rPr>
                <w:rFonts w:ascii="Arial" w:cs="Arial" w:eastAsia="Arial" w:hAnsi="Arial"/>
                <w:sz w:val="15"/>
                <w:szCs w:val="15"/>
                <w:color w:val="auto"/>
              </w:rPr>
              <w:t>None</w:t>
            </w:r>
          </w:p>
        </w:tc>
        <w:tc>
          <w:tcPr>
            <w:tcW w:w="1540" w:type="dxa"/>
            <w:vAlign w:val="bottom"/>
          </w:tcPr>
          <w:p>
            <w:pPr>
              <w:ind w:left="1420"/>
              <w:spacing w:after="0"/>
              <w:rPr>
                <w:sz w:val="20"/>
                <w:szCs w:val="20"/>
                <w:color w:val="auto"/>
              </w:rPr>
            </w:pPr>
            <w:r>
              <w:rPr>
                <w:rFonts w:ascii="Arial" w:cs="Arial" w:eastAsia="Arial" w:hAnsi="Arial"/>
                <w:sz w:val="15"/>
                <w:szCs w:val="15"/>
                <w:color w:val="auto"/>
              </w:rPr>
              <w:t>​</w:t>
            </w:r>
          </w:p>
        </w:tc>
      </w:tr>
      <w:tr>
        <w:trPr>
          <w:trHeight w:val="230"/>
        </w:trPr>
        <w:tc>
          <w:tcPr>
            <w:tcW w:w="1580" w:type="dxa"/>
            <w:vAlign w:val="bottom"/>
            <w:shd w:val="clear" w:color="auto" w:fill="E5E5E5"/>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Glenn Marino</w:t>
            </w:r>
          </w:p>
        </w:tc>
        <w:tc>
          <w:tcPr>
            <w:tcW w:w="580" w:type="dxa"/>
            <w:vAlign w:val="bottom"/>
            <w:shd w:val="clear" w:color="auto" w:fill="E5E5E5"/>
          </w:tcPr>
          <w:p>
            <w:pPr>
              <w:ind w:left="240"/>
              <w:spacing w:after="0"/>
              <w:rPr>
                <w:sz w:val="20"/>
                <w:szCs w:val="20"/>
                <w:color w:val="auto"/>
              </w:rPr>
            </w:pPr>
            <w:r>
              <w:rPr>
                <w:rFonts w:ascii="Arial" w:cs="Arial" w:eastAsia="Arial" w:hAnsi="Arial"/>
                <w:sz w:val="15"/>
                <w:szCs w:val="15"/>
                <w:color w:val="auto"/>
              </w:rPr>
              <w:t>​ ​</w:t>
            </w:r>
          </w:p>
        </w:tc>
        <w:tc>
          <w:tcPr>
            <w:tcW w:w="620" w:type="dxa"/>
            <w:vAlign w:val="bottom"/>
            <w:shd w:val="clear" w:color="auto" w:fill="E5E5E5"/>
          </w:tcPr>
          <w:p>
            <w:pPr>
              <w:ind w:left="200"/>
              <w:spacing w:after="0"/>
              <w:rPr>
                <w:sz w:val="20"/>
                <w:szCs w:val="20"/>
                <w:color w:val="auto"/>
              </w:rPr>
            </w:pPr>
            <w:r>
              <w:rPr>
                <w:rFonts w:ascii="Arial" w:cs="Arial" w:eastAsia="Arial" w:hAnsi="Arial"/>
                <w:sz w:val="15"/>
                <w:szCs w:val="15"/>
                <w:color w:val="auto"/>
              </w:rPr>
              <w:t>Yes</w:t>
            </w:r>
          </w:p>
        </w:tc>
        <w:tc>
          <w:tcPr>
            <w:tcW w:w="9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 ​</w:t>
            </w:r>
          </w:p>
        </w:tc>
        <w:tc>
          <w:tcPr>
            <w:tcW w:w="3920" w:type="dxa"/>
            <w:vAlign w:val="bottom"/>
            <w:shd w:val="clear" w:color="auto" w:fill="E5E5E5"/>
          </w:tcPr>
          <w:p>
            <w:pPr>
              <w:ind w:left="640"/>
              <w:spacing w:after="0"/>
              <w:rPr>
                <w:sz w:val="20"/>
                <w:szCs w:val="20"/>
                <w:color w:val="auto"/>
              </w:rPr>
            </w:pPr>
            <w:r>
              <w:rPr>
                <w:rFonts w:ascii="Arial" w:cs="Arial" w:eastAsia="Arial" w:hAnsi="Arial"/>
                <w:sz w:val="15"/>
                <w:szCs w:val="15"/>
                <w:color w:val="auto"/>
              </w:rPr>
              <w:t>None</w:t>
            </w:r>
          </w:p>
        </w:tc>
        <w:tc>
          <w:tcPr>
            <w:tcW w:w="1540" w:type="dxa"/>
            <w:vAlign w:val="bottom"/>
            <w:shd w:val="clear" w:color="auto" w:fill="E5E5E5"/>
          </w:tcPr>
          <w:p>
            <w:pPr>
              <w:ind w:left="1420"/>
              <w:spacing w:after="0"/>
              <w:rPr>
                <w:sz w:val="20"/>
                <w:szCs w:val="20"/>
                <w:color w:val="auto"/>
              </w:rPr>
            </w:pPr>
            <w:r>
              <w:rPr>
                <w:rFonts w:ascii="Arial" w:cs="Arial" w:eastAsia="Arial" w:hAnsi="Arial"/>
                <w:sz w:val="15"/>
                <w:szCs w:val="15"/>
                <w:color w:val="auto"/>
              </w:rPr>
              <w:t>​</w:t>
            </w:r>
          </w:p>
        </w:tc>
      </w:tr>
      <w:tr>
        <w:trPr>
          <w:trHeight w:val="243"/>
        </w:trPr>
        <w:tc>
          <w:tcPr>
            <w:tcW w:w="1580" w:type="dxa"/>
            <w:vAlign w:val="bottom"/>
            <w:tcBorders>
              <w:bottom w:val="single" w:sz="8" w:color="auto"/>
            </w:tcBorders>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Carol McFate</w:t>
            </w: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 ​</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Yes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 ​</w:t>
            </w:r>
          </w:p>
        </w:tc>
        <w:tc>
          <w:tcPr>
            <w:tcW w:w="392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None</w:t>
            </w:r>
          </w:p>
        </w:tc>
        <w:tc>
          <w:tcPr>
            <w:tcW w:w="1540" w:type="dxa"/>
            <w:vAlign w:val="bottom"/>
            <w:tcBorders>
              <w:bottom w:val="single" w:sz="8" w:color="auto"/>
            </w:tcBorders>
          </w:tcPr>
          <w:p>
            <w:pPr>
              <w:ind w:left="1420"/>
              <w:spacing w:after="0"/>
              <w:rPr>
                <w:sz w:val="20"/>
                <w:szCs w:val="20"/>
                <w:color w:val="auto"/>
              </w:rPr>
            </w:pPr>
            <w:r>
              <w:rPr>
                <w:rFonts w:ascii="Arial" w:cs="Arial" w:eastAsia="Arial" w:hAnsi="Arial"/>
                <w:sz w:val="15"/>
                <w:szCs w:val="15"/>
                <w:color w:val="auto"/>
              </w:rPr>
              <w:t>​</w:t>
            </w:r>
          </w:p>
        </w:tc>
      </w:tr>
    </w:tbl>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Committees of the Board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standing committees of the Board during 2025 included the (1) Audit &amp; Risk Committee, (2) Compensation Committee,</w:t>
      </w:r>
    </w:p>
    <w:p>
      <w:pPr>
        <w:spacing w:after="0" w:line="21" w:lineRule="exact"/>
        <w:rPr>
          <w:sz w:val="20"/>
          <w:szCs w:val="20"/>
          <w:color w:val="auto"/>
        </w:rPr>
      </w:pPr>
    </w:p>
    <w:p>
      <w:pPr>
        <w:jc w:val="both"/>
        <w:ind w:left="760" w:right="760" w:firstLine="2"/>
        <w:spacing w:after="0" w:line="273" w:lineRule="auto"/>
        <w:tabs>
          <w:tab w:leader="none" w:pos="10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Nominating and Corporate Governance Committee, and (4) Cybersecurity, Technology and Innovation Committee. Each of the standing committees has the authority to retain independent advisors and consultants, with all fees and expenses to be paid by the Company. From time to time, the Board may also appoint special committees for specific matters.</w:t>
      </w:r>
    </w:p>
    <w:p>
      <w:pPr>
        <w:spacing w:after="0" w:line="99" w:lineRule="exact"/>
        <w:rPr>
          <w:sz w:val="20"/>
          <w:szCs w:val="20"/>
          <w:color w:val="auto"/>
        </w:rPr>
      </w:pPr>
    </w:p>
    <w:p>
      <w:pPr>
        <w:ind w:left="760" w:right="760"/>
        <w:spacing w:after="0" w:line="304" w:lineRule="auto"/>
        <w:rPr>
          <w:sz w:val="20"/>
          <w:szCs w:val="20"/>
          <w:color w:val="auto"/>
        </w:rPr>
      </w:pPr>
      <w:r>
        <w:rPr>
          <w:rFonts w:ascii="Arial" w:cs="Arial" w:eastAsia="Arial" w:hAnsi="Arial"/>
          <w:sz w:val="16"/>
          <w:szCs w:val="16"/>
          <w:color w:val="auto"/>
        </w:rPr>
        <w:t>The following table provides membership and meeting information for the Board and each of the Board’s standing committees during 2025 for our current and former directors and also reflects changes to committees as of the date of this proxy statement: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left="24"/>
              <w:spacing w:after="0"/>
              <w:rPr>
                <w:sz w:val="20"/>
                <w:szCs w:val="20"/>
                <w:color w:val="auto"/>
              </w:rPr>
            </w:pPr>
            <w:r>
              <w:rPr>
                <w:rFonts w:ascii="Arial" w:cs="Arial" w:eastAsia="Arial" w:hAnsi="Arial"/>
                <w:sz w:val="15"/>
                <w:szCs w:val="15"/>
                <w:b w:val="1"/>
                <w:bCs w:val="1"/>
                <w:color w:val="auto"/>
              </w:rPr>
              <w:t>Nominating and</w:t>
            </w:r>
          </w:p>
        </w:tc>
        <w:tc>
          <w:tcPr>
            <w:tcW w:w="3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Cybersecurity,</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rPr>
              <w:t>Audit &amp; Risk</w:t>
            </w:r>
          </w:p>
        </w:tc>
        <w:tc>
          <w:tcPr>
            <w:tcW w:w="1160" w:type="dxa"/>
            <w:vAlign w:val="bottom"/>
            <w:gridSpan w:val="2"/>
          </w:tcPr>
          <w:p>
            <w:pPr>
              <w:jc w:val="center"/>
              <w:ind w:left="24"/>
              <w:spacing w:after="0"/>
              <w:rPr>
                <w:sz w:val="20"/>
                <w:szCs w:val="20"/>
                <w:color w:val="auto"/>
              </w:rPr>
            </w:pPr>
            <w:r>
              <w:rPr>
                <w:rFonts w:ascii="Arial" w:cs="Arial" w:eastAsia="Arial" w:hAnsi="Arial"/>
                <w:sz w:val="15"/>
                <w:szCs w:val="15"/>
                <w:b w:val="1"/>
                <w:bCs w:val="1"/>
                <w:color w:val="auto"/>
              </w:rPr>
              <w:t>Compensation</w:t>
            </w:r>
          </w:p>
        </w:tc>
        <w:tc>
          <w:tcPr>
            <w:tcW w:w="140" w:type="dxa"/>
            <w:vAlign w:val="bottom"/>
          </w:tcPr>
          <w:p>
            <w:pPr>
              <w:spacing w:after="0"/>
              <w:rPr>
                <w:sz w:val="16"/>
                <w:szCs w:val="16"/>
                <w:color w:val="auto"/>
              </w:rPr>
            </w:pPr>
          </w:p>
        </w:tc>
        <w:tc>
          <w:tcPr>
            <w:tcW w:w="1560" w:type="dxa"/>
            <w:vAlign w:val="bottom"/>
          </w:tcPr>
          <w:p>
            <w:pPr>
              <w:jc w:val="center"/>
              <w:ind w:left="24"/>
              <w:spacing w:after="0"/>
              <w:rPr>
                <w:sz w:val="20"/>
                <w:szCs w:val="20"/>
                <w:color w:val="auto"/>
              </w:rPr>
            </w:pPr>
            <w:r>
              <w:rPr>
                <w:rFonts w:ascii="Arial" w:cs="Arial" w:eastAsia="Arial" w:hAnsi="Arial"/>
                <w:sz w:val="15"/>
                <w:szCs w:val="15"/>
                <w:b w:val="1"/>
                <w:bCs w:val="1"/>
                <w:color w:val="auto"/>
              </w:rPr>
              <w:t>Corporate</w:t>
            </w:r>
          </w:p>
        </w:tc>
        <w:tc>
          <w:tcPr>
            <w:tcW w:w="3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Technology and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2"/>
        </w:trPr>
        <w:tc>
          <w:tcPr>
            <w:tcW w:w="760" w:type="dxa"/>
            <w:vAlign w:val="bottom"/>
          </w:tcPr>
          <w:p>
            <w:pPr>
              <w:spacing w:after="0"/>
              <w:rPr>
                <w:sz w:val="19"/>
                <w:szCs w:val="19"/>
                <w:color w:val="auto"/>
              </w:rPr>
            </w:pP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​Name</w:t>
            </w:r>
            <w:r>
              <w:rPr>
                <w:rFonts w:ascii="Arial" w:cs="Arial" w:eastAsia="Arial" w:hAnsi="Arial"/>
                <w:sz w:val="19"/>
                <w:szCs w:val="19"/>
                <w:b w:val="1"/>
                <w:bCs w:val="1"/>
                <w:color w:val="auto"/>
                <w:vertAlign w:val="superscript"/>
              </w:rPr>
              <w:t>(1)</w:t>
            </w: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​​Independent</w:t>
            </w:r>
            <w:r>
              <w:rPr>
                <w:rFonts w:ascii="Arial" w:cs="Arial" w:eastAsia="Arial" w:hAnsi="Arial"/>
                <w:sz w:val="19"/>
                <w:szCs w:val="19"/>
                <w:b w:val="1"/>
                <w:bCs w:val="1"/>
                <w:color w:val="auto"/>
                <w:vertAlign w:val="superscript"/>
              </w:rPr>
              <w:t>(2)</w:t>
            </w: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 ​Committee</w:t>
            </w:r>
            <w:r>
              <w:rPr>
                <w:rFonts w:ascii="Arial" w:cs="Arial" w:eastAsia="Arial" w:hAnsi="Arial"/>
                <w:sz w:val="19"/>
                <w:szCs w:val="19"/>
                <w:b w:val="1"/>
                <w:bCs w:val="1"/>
                <w:color w:val="auto"/>
                <w:vertAlign w:val="superscript"/>
              </w:rPr>
              <w:t>(3)</w:t>
            </w:r>
            <w:r>
              <w:rPr>
                <w:rFonts w:ascii="Arial" w:cs="Arial" w:eastAsia="Arial" w:hAnsi="Arial"/>
                <w:sz w:val="15"/>
                <w:szCs w:val="15"/>
                <w:b w:val="1"/>
                <w:bCs w:val="1"/>
                <w:color w:val="auto"/>
              </w:rPr>
              <w:t xml:space="preserve"> ​​</w:t>
            </w:r>
          </w:p>
        </w:tc>
        <w:tc>
          <w:tcPr>
            <w:tcW w:w="100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rPr>
              <w:t>Committee</w:t>
            </w:r>
          </w:p>
        </w:tc>
        <w:tc>
          <w:tcPr>
            <w:tcW w:w="36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​​Governance Committee ​​Innovation Committee ​</w:t>
            </w:r>
          </w:p>
        </w:tc>
        <w:tc>
          <w:tcPr>
            <w:tcW w:w="760" w:type="dxa"/>
            <w:vAlign w:val="bottom"/>
          </w:tcPr>
          <w:p>
            <w:pPr>
              <w:spacing w:after="0"/>
              <w:rPr>
                <w:sz w:val="19"/>
                <w:szCs w:val="19"/>
                <w:color w:val="auto"/>
              </w:rPr>
            </w:pPr>
          </w:p>
        </w:tc>
      </w:tr>
      <w:tr>
        <w:trPr>
          <w:trHeight w:val="237"/>
        </w:trPr>
        <w:tc>
          <w:tcPr>
            <w:tcW w:w="760" w:type="dxa"/>
            <w:vAlign w:val="bottom"/>
          </w:tcPr>
          <w:p>
            <w:pPr>
              <w:spacing w:after="0"/>
              <w:rPr>
                <w:sz w:val="20"/>
                <w:szCs w:val="20"/>
                <w:color w:val="auto"/>
              </w:rPr>
            </w:pPr>
          </w:p>
        </w:tc>
        <w:tc>
          <w:tcPr>
            <w:tcW w:w="1920" w:type="dxa"/>
            <w:vAlign w:val="bottom"/>
            <w:shd w:val="clear" w:color="auto" w:fill="E5E5E5"/>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Jeffrey Brown</w:t>
            </w:r>
          </w:p>
        </w:tc>
        <w:tc>
          <w:tcPr>
            <w:tcW w:w="520" w:type="dxa"/>
            <w:vAlign w:val="bottom"/>
            <w:shd w:val="clear" w:color="auto" w:fill="E5E5E5"/>
          </w:tcPr>
          <w:p>
            <w:pPr>
              <w:ind w:lef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E5E5E5"/>
          </w:tcPr>
          <w:p>
            <w:pPr>
              <w:jc w:val="center"/>
              <w:ind w:right="144"/>
              <w:spacing w:after="0"/>
              <w:rPr>
                <w:sz w:val="20"/>
                <w:szCs w:val="20"/>
                <w:color w:val="auto"/>
              </w:rPr>
            </w:pPr>
            <w:r>
              <w:rPr>
                <w:rFonts w:ascii="Arial" w:cs="Arial" w:eastAsia="Arial" w:hAnsi="Arial"/>
                <w:sz w:val="15"/>
                <w:szCs w:val="15"/>
                <w:color w:val="auto"/>
                <w:w w:val="92"/>
              </w:rPr>
              <w:t>Yes</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 ​</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Chair</w:t>
            </w:r>
          </w:p>
        </w:tc>
        <w:tc>
          <w:tcPr>
            <w:tcW w:w="16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E5E5E5"/>
          </w:tcPr>
          <w:p>
            <w:pPr>
              <w:jc w:val="center"/>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jc w:val="center"/>
              <w:ind w:left="24"/>
              <w:spacing w:after="0"/>
              <w:rPr>
                <w:sz w:val="20"/>
                <w:szCs w:val="20"/>
                <w:color w:val="auto"/>
              </w:rPr>
            </w:pPr>
            <w:r>
              <w:rPr>
                <w:rFonts w:ascii="Arial" w:cs="Arial" w:eastAsia="Arial" w:hAnsi="Arial"/>
                <w:sz w:val="15"/>
                <w:szCs w:val="15"/>
                <w:color w:val="auto"/>
                <w:w w:val="93"/>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0"/>
                <w:szCs w:val="20"/>
                <w:color w:val="auto"/>
              </w:rPr>
            </w:pPr>
          </w:p>
        </w:tc>
      </w:tr>
      <w:tr>
        <w:trPr>
          <w:trHeight w:val="243"/>
        </w:trPr>
        <w:tc>
          <w:tcPr>
            <w:tcW w:w="760" w:type="dxa"/>
            <w:vAlign w:val="bottom"/>
          </w:tcPr>
          <w:p>
            <w:pPr>
              <w:spacing w:after="0"/>
              <w:rPr>
                <w:sz w:val="21"/>
                <w:szCs w:val="21"/>
                <w:color w:val="auto"/>
              </w:rPr>
            </w:pPr>
          </w:p>
        </w:tc>
        <w:tc>
          <w:tcPr>
            <w:tcW w:w="1920" w:type="dxa"/>
            <w:vAlign w:val="bottom"/>
          </w:tcPr>
          <w:p>
            <w:pPr>
              <w:ind w:lef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Mitchell Fadel</w:t>
            </w:r>
          </w:p>
        </w:tc>
        <w:tc>
          <w:tcPr>
            <w:tcW w:w="520" w:type="dxa"/>
            <w:vAlign w:val="bottom"/>
          </w:tcPr>
          <w:p>
            <w:pPr>
              <w:ind w:left="220"/>
              <w:spacing w:after="0"/>
              <w:rPr>
                <w:sz w:val="20"/>
                <w:szCs w:val="20"/>
                <w:color w:val="auto"/>
              </w:rPr>
            </w:pPr>
            <w:r>
              <w:rPr>
                <w:rFonts w:ascii="Arial" w:cs="Arial" w:eastAsia="Arial" w:hAnsi="Arial"/>
                <w:sz w:val="15"/>
                <w:szCs w:val="15"/>
                <w:color w:val="auto"/>
              </w:rPr>
              <w:t>​​</w:t>
            </w:r>
          </w:p>
        </w:tc>
        <w:tc>
          <w:tcPr>
            <w:tcW w:w="860" w:type="dxa"/>
            <w:vAlign w:val="bottom"/>
          </w:tcPr>
          <w:p>
            <w:pPr>
              <w:jc w:val="center"/>
              <w:ind w:right="144"/>
              <w:spacing w:after="0"/>
              <w:rPr>
                <w:sz w:val="20"/>
                <w:szCs w:val="20"/>
                <w:color w:val="auto"/>
              </w:rPr>
            </w:pPr>
            <w:r>
              <w:rPr>
                <w:rFonts w:ascii="Arial" w:cs="Arial" w:eastAsia="Arial" w:hAnsi="Arial"/>
                <w:sz w:val="15"/>
                <w:szCs w:val="15"/>
                <w:color w:val="auto"/>
              </w:rPr>
              <w:t>No</w:t>
            </w:r>
          </w:p>
        </w:tc>
        <w:tc>
          <w:tcPr>
            <w:tcW w:w="140" w:type="dxa"/>
            <w:vAlign w:val="bottom"/>
          </w:tcPr>
          <w:p>
            <w:pPr>
              <w:ind w:left="20"/>
              <w:spacing w:after="0"/>
              <w:rPr>
                <w:sz w:val="20"/>
                <w:szCs w:val="20"/>
                <w:color w:val="auto"/>
              </w:rPr>
            </w:pPr>
            <w:r>
              <w:rPr>
                <w:rFonts w:ascii="Arial" w:cs="Arial" w:eastAsia="Arial" w:hAnsi="Arial"/>
                <w:sz w:val="15"/>
                <w:szCs w:val="15"/>
                <w:color w:val="auto"/>
              </w:rPr>
              <w:t>​ ​</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tcPr>
          <w:p>
            <w:pPr>
              <w:jc w:val="center"/>
              <w:ind w:right="4"/>
              <w:spacing w:after="0"/>
              <w:rPr>
                <w:sz w:val="20"/>
                <w:szCs w:val="20"/>
                <w:color w:val="auto"/>
              </w:rPr>
            </w:pPr>
            <w:r>
              <w:rPr>
                <w:rFonts w:ascii="Arial" w:cs="Arial" w:eastAsia="Arial" w:hAnsi="Arial"/>
                <w:sz w:val="15"/>
                <w:szCs w:val="15"/>
                <w:color w:val="auto"/>
              </w:rPr>
              <w:t>—</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560" w:type="dxa"/>
            <w:vAlign w:val="bottom"/>
          </w:tcPr>
          <w:p>
            <w:pPr>
              <w:jc w:val="center"/>
              <w:ind w:left="24"/>
              <w:spacing w:after="0"/>
              <w:rPr>
                <w:sz w:val="20"/>
                <w:szCs w:val="20"/>
                <w:color w:val="auto"/>
              </w:rPr>
            </w:pPr>
            <w:r>
              <w:rPr>
                <w:rFonts w:ascii="Arial" w:cs="Arial" w:eastAsia="Arial" w:hAnsi="Arial"/>
                <w:sz w:val="15"/>
                <w:szCs w:val="15"/>
                <w:color w:val="auto"/>
                <w:w w:val="93"/>
              </w:rPr>
              <w:t>—</w:t>
            </w:r>
          </w:p>
        </w:tc>
        <w:tc>
          <w:tcPr>
            <w:tcW w:w="360" w:type="dxa"/>
            <w:vAlign w:val="bottom"/>
          </w:tcPr>
          <w:p>
            <w:pPr>
              <w:ind w:left="160"/>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1920" w:type="dxa"/>
            <w:vAlign w:val="bottom"/>
            <w:shd w:val="clear" w:color="auto" w:fill="E5E5E5"/>
          </w:tcPr>
          <w:p>
            <w:pPr>
              <w:ind w:lef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Charu Jain</w:t>
            </w:r>
          </w:p>
        </w:tc>
        <w:tc>
          <w:tcPr>
            <w:tcW w:w="520" w:type="dxa"/>
            <w:vAlign w:val="bottom"/>
            <w:shd w:val="clear" w:color="auto" w:fill="E5E5E5"/>
          </w:tcPr>
          <w:p>
            <w:pPr>
              <w:ind w:lef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E5E5E5"/>
          </w:tcPr>
          <w:p>
            <w:pPr>
              <w:jc w:val="center"/>
              <w:ind w:right="144"/>
              <w:spacing w:after="0"/>
              <w:rPr>
                <w:sz w:val="20"/>
                <w:szCs w:val="20"/>
                <w:color w:val="auto"/>
              </w:rPr>
            </w:pPr>
            <w:r>
              <w:rPr>
                <w:rFonts w:ascii="Arial" w:cs="Arial" w:eastAsia="Arial" w:hAnsi="Arial"/>
                <w:sz w:val="15"/>
                <w:szCs w:val="15"/>
                <w:color w:val="auto"/>
                <w:w w:val="92"/>
              </w:rPr>
              <w:t>Yes</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 ​</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w:t>
            </w:r>
          </w:p>
        </w:tc>
        <w:tc>
          <w:tcPr>
            <w:tcW w:w="16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E5E5E5"/>
          </w:tcPr>
          <w:p>
            <w:pPr>
              <w:jc w:val="center"/>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jc w:val="center"/>
              <w:ind w:left="24"/>
              <w:spacing w:after="0"/>
              <w:rPr>
                <w:sz w:val="20"/>
                <w:szCs w:val="20"/>
                <w:color w:val="auto"/>
              </w:rPr>
            </w:pPr>
            <w:r>
              <w:rPr>
                <w:rFonts w:ascii="Arial" w:cs="Arial" w:eastAsia="Arial" w:hAnsi="Arial"/>
                <w:sz w:val="15"/>
                <w:szCs w:val="15"/>
                <w:color w:val="auto"/>
                <w:w w:val="93"/>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Chair</w:t>
            </w:r>
          </w:p>
        </w:tc>
        <w:tc>
          <w:tcPr>
            <w:tcW w:w="2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1920" w:type="dxa"/>
            <w:vAlign w:val="bottom"/>
          </w:tcPr>
          <w:p>
            <w:pPr>
              <w:ind w:lef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Fahmi Karam</w:t>
            </w:r>
          </w:p>
        </w:tc>
        <w:tc>
          <w:tcPr>
            <w:tcW w:w="520" w:type="dxa"/>
            <w:vAlign w:val="bottom"/>
          </w:tcPr>
          <w:p>
            <w:pPr>
              <w:ind w:left="220"/>
              <w:spacing w:after="0"/>
              <w:rPr>
                <w:sz w:val="20"/>
                <w:szCs w:val="20"/>
                <w:color w:val="auto"/>
              </w:rPr>
            </w:pPr>
            <w:r>
              <w:rPr>
                <w:rFonts w:ascii="Arial" w:cs="Arial" w:eastAsia="Arial" w:hAnsi="Arial"/>
                <w:sz w:val="15"/>
                <w:szCs w:val="15"/>
                <w:color w:val="auto"/>
              </w:rPr>
              <w:t>​​</w:t>
            </w:r>
          </w:p>
        </w:tc>
        <w:tc>
          <w:tcPr>
            <w:tcW w:w="860" w:type="dxa"/>
            <w:vAlign w:val="bottom"/>
          </w:tcPr>
          <w:p>
            <w:pPr>
              <w:jc w:val="center"/>
              <w:ind w:right="144"/>
              <w:spacing w:after="0"/>
              <w:rPr>
                <w:sz w:val="20"/>
                <w:szCs w:val="20"/>
                <w:color w:val="auto"/>
              </w:rPr>
            </w:pPr>
            <w:r>
              <w:rPr>
                <w:rFonts w:ascii="Arial" w:cs="Arial" w:eastAsia="Arial" w:hAnsi="Arial"/>
                <w:sz w:val="15"/>
                <w:szCs w:val="15"/>
                <w:color w:val="auto"/>
              </w:rPr>
              <w:t>No</w:t>
            </w:r>
          </w:p>
        </w:tc>
        <w:tc>
          <w:tcPr>
            <w:tcW w:w="140" w:type="dxa"/>
            <w:vAlign w:val="bottom"/>
          </w:tcPr>
          <w:p>
            <w:pPr>
              <w:ind w:left="20"/>
              <w:spacing w:after="0"/>
              <w:rPr>
                <w:sz w:val="20"/>
                <w:szCs w:val="20"/>
                <w:color w:val="auto"/>
              </w:rPr>
            </w:pPr>
            <w:r>
              <w:rPr>
                <w:rFonts w:ascii="Arial" w:cs="Arial" w:eastAsia="Arial" w:hAnsi="Arial"/>
                <w:sz w:val="15"/>
                <w:szCs w:val="15"/>
                <w:color w:val="auto"/>
              </w:rPr>
              <w:t>​ ​</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tcPr>
          <w:p>
            <w:pPr>
              <w:jc w:val="center"/>
              <w:ind w:right="4"/>
              <w:spacing w:after="0"/>
              <w:rPr>
                <w:sz w:val="20"/>
                <w:szCs w:val="20"/>
                <w:color w:val="auto"/>
              </w:rPr>
            </w:pPr>
            <w:r>
              <w:rPr>
                <w:rFonts w:ascii="Arial" w:cs="Arial" w:eastAsia="Arial" w:hAnsi="Arial"/>
                <w:sz w:val="15"/>
                <w:szCs w:val="15"/>
                <w:color w:val="auto"/>
              </w:rPr>
              <w:t>—</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560" w:type="dxa"/>
            <w:vAlign w:val="bottom"/>
          </w:tcPr>
          <w:p>
            <w:pPr>
              <w:jc w:val="center"/>
              <w:ind w:left="24"/>
              <w:spacing w:after="0"/>
              <w:rPr>
                <w:sz w:val="20"/>
                <w:szCs w:val="20"/>
                <w:color w:val="auto"/>
              </w:rPr>
            </w:pPr>
            <w:r>
              <w:rPr>
                <w:rFonts w:ascii="Arial" w:cs="Arial" w:eastAsia="Arial" w:hAnsi="Arial"/>
                <w:sz w:val="15"/>
                <w:szCs w:val="15"/>
                <w:color w:val="auto"/>
                <w:w w:val="93"/>
              </w:rPr>
              <w:t>—</w:t>
            </w:r>
          </w:p>
        </w:tc>
        <w:tc>
          <w:tcPr>
            <w:tcW w:w="360" w:type="dxa"/>
            <w:vAlign w:val="bottom"/>
          </w:tcPr>
          <w:p>
            <w:pPr>
              <w:ind w:left="160"/>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1920" w:type="dxa"/>
            <w:vAlign w:val="bottom"/>
            <w:shd w:val="clear" w:color="auto" w:fill="E5E5E5"/>
          </w:tcPr>
          <w:p>
            <w:pPr>
              <w:ind w:lef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Molly Langenstein</w:t>
            </w:r>
          </w:p>
        </w:tc>
        <w:tc>
          <w:tcPr>
            <w:tcW w:w="520" w:type="dxa"/>
            <w:vAlign w:val="bottom"/>
            <w:shd w:val="clear" w:color="auto" w:fill="E5E5E5"/>
          </w:tcPr>
          <w:p>
            <w:pPr>
              <w:ind w:lef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E5E5E5"/>
          </w:tcPr>
          <w:p>
            <w:pPr>
              <w:jc w:val="center"/>
              <w:ind w:right="144"/>
              <w:spacing w:after="0"/>
              <w:rPr>
                <w:sz w:val="20"/>
                <w:szCs w:val="20"/>
                <w:color w:val="auto"/>
              </w:rPr>
            </w:pPr>
            <w:r>
              <w:rPr>
                <w:rFonts w:ascii="Arial" w:cs="Arial" w:eastAsia="Arial" w:hAnsi="Arial"/>
                <w:sz w:val="15"/>
                <w:szCs w:val="15"/>
                <w:color w:val="auto"/>
                <w:w w:val="92"/>
              </w:rPr>
              <w:t>Yes</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 ​</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w:t>
            </w:r>
          </w:p>
        </w:tc>
        <w:tc>
          <w:tcPr>
            <w:tcW w:w="16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E5E5E5"/>
          </w:tcPr>
          <w:p>
            <w:pPr>
              <w:jc w:val="center"/>
              <w:ind w:right="4"/>
              <w:spacing w:after="0"/>
              <w:rPr>
                <w:sz w:val="20"/>
                <w:szCs w:val="20"/>
                <w:color w:val="auto"/>
              </w:rPr>
            </w:pPr>
            <w:r>
              <w:rPr>
                <w:rFonts w:ascii="Arial" w:cs="Arial" w:eastAsia="Arial" w:hAnsi="Arial"/>
                <w:sz w:val="15"/>
                <w:szCs w:val="15"/>
                <w:color w:val="auto"/>
              </w:rPr>
              <w:t>Member</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jc w:val="center"/>
              <w:ind w:left="4"/>
              <w:spacing w:after="0"/>
              <w:rPr>
                <w:sz w:val="20"/>
                <w:szCs w:val="20"/>
                <w:color w:val="auto"/>
              </w:rPr>
            </w:pPr>
            <w:r>
              <w:rPr>
                <w:rFonts w:ascii="Arial" w:cs="Arial" w:eastAsia="Arial" w:hAnsi="Arial"/>
                <w:sz w:val="15"/>
                <w:szCs w:val="15"/>
                <w:color w:val="auto"/>
              </w:rPr>
              <w:t>Member</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Member</w:t>
            </w:r>
          </w:p>
        </w:tc>
        <w:tc>
          <w:tcPr>
            <w:tcW w:w="2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1920" w:type="dxa"/>
            <w:vAlign w:val="bottom"/>
          </w:tcPr>
          <w:p>
            <w:pPr>
              <w:ind w:lef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Harold Lewis</w:t>
            </w:r>
          </w:p>
        </w:tc>
        <w:tc>
          <w:tcPr>
            <w:tcW w:w="520" w:type="dxa"/>
            <w:vAlign w:val="bottom"/>
          </w:tcPr>
          <w:p>
            <w:pPr>
              <w:ind w:left="220"/>
              <w:spacing w:after="0"/>
              <w:rPr>
                <w:sz w:val="20"/>
                <w:szCs w:val="20"/>
                <w:color w:val="auto"/>
              </w:rPr>
            </w:pPr>
            <w:r>
              <w:rPr>
                <w:rFonts w:ascii="Arial" w:cs="Arial" w:eastAsia="Arial" w:hAnsi="Arial"/>
                <w:sz w:val="15"/>
                <w:szCs w:val="15"/>
                <w:color w:val="auto"/>
              </w:rPr>
              <w:t>​​</w:t>
            </w:r>
          </w:p>
        </w:tc>
        <w:tc>
          <w:tcPr>
            <w:tcW w:w="860" w:type="dxa"/>
            <w:vAlign w:val="bottom"/>
          </w:tcPr>
          <w:p>
            <w:pPr>
              <w:jc w:val="center"/>
              <w:ind w:right="144"/>
              <w:spacing w:after="0"/>
              <w:rPr>
                <w:sz w:val="20"/>
                <w:szCs w:val="20"/>
                <w:color w:val="auto"/>
              </w:rPr>
            </w:pPr>
            <w:r>
              <w:rPr>
                <w:rFonts w:ascii="Arial" w:cs="Arial" w:eastAsia="Arial" w:hAnsi="Arial"/>
                <w:sz w:val="15"/>
                <w:szCs w:val="15"/>
                <w:color w:val="auto"/>
                <w:w w:val="92"/>
              </w:rPr>
              <w:t>Yes</w:t>
            </w:r>
          </w:p>
        </w:tc>
        <w:tc>
          <w:tcPr>
            <w:tcW w:w="140" w:type="dxa"/>
            <w:vAlign w:val="bottom"/>
          </w:tcPr>
          <w:p>
            <w:pPr>
              <w:ind w:left="20"/>
              <w:spacing w:after="0"/>
              <w:rPr>
                <w:sz w:val="20"/>
                <w:szCs w:val="20"/>
                <w:color w:val="auto"/>
              </w:rPr>
            </w:pPr>
            <w:r>
              <w:rPr>
                <w:rFonts w:ascii="Arial" w:cs="Arial" w:eastAsia="Arial" w:hAnsi="Arial"/>
                <w:sz w:val="15"/>
                <w:szCs w:val="15"/>
                <w:color w:val="auto"/>
              </w:rPr>
              <w:t>​ ​</w:t>
            </w:r>
          </w:p>
        </w:tc>
        <w:tc>
          <w:tcPr>
            <w:tcW w:w="940" w:type="dxa"/>
            <w:vAlign w:val="bottom"/>
          </w:tcPr>
          <w:p>
            <w:pPr>
              <w:jc w:val="center"/>
              <w:spacing w:after="0"/>
              <w:rPr>
                <w:sz w:val="20"/>
                <w:szCs w:val="20"/>
                <w:color w:val="auto"/>
              </w:rPr>
            </w:pPr>
            <w:r>
              <w:rPr>
                <w:rFonts w:ascii="Arial" w:cs="Arial" w:eastAsia="Arial" w:hAnsi="Arial"/>
                <w:sz w:val="15"/>
                <w:szCs w:val="15"/>
                <w:color w:val="auto"/>
              </w:rPr>
              <w:t>Member</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tcPr>
          <w:p>
            <w:pPr>
              <w:jc w:val="center"/>
              <w:ind w:right="4"/>
              <w:spacing w:after="0"/>
              <w:rPr>
                <w:sz w:val="20"/>
                <w:szCs w:val="20"/>
                <w:color w:val="auto"/>
              </w:rPr>
            </w:pPr>
            <w:r>
              <w:rPr>
                <w:rFonts w:ascii="Arial" w:cs="Arial" w:eastAsia="Arial" w:hAnsi="Arial"/>
                <w:sz w:val="15"/>
                <w:szCs w:val="15"/>
                <w:color w:val="auto"/>
              </w:rPr>
              <w:t>Member</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560" w:type="dxa"/>
            <w:vAlign w:val="bottom"/>
          </w:tcPr>
          <w:p>
            <w:pPr>
              <w:jc w:val="center"/>
              <w:ind w:left="24"/>
              <w:spacing w:after="0"/>
              <w:rPr>
                <w:sz w:val="20"/>
                <w:szCs w:val="20"/>
                <w:color w:val="auto"/>
              </w:rPr>
            </w:pPr>
            <w:r>
              <w:rPr>
                <w:rFonts w:ascii="Arial" w:cs="Arial" w:eastAsia="Arial" w:hAnsi="Arial"/>
                <w:sz w:val="15"/>
                <w:szCs w:val="15"/>
                <w:color w:val="auto"/>
                <w:w w:val="93"/>
              </w:rPr>
              <w:t>—</w:t>
            </w:r>
          </w:p>
        </w:tc>
        <w:tc>
          <w:tcPr>
            <w:tcW w:w="360" w:type="dxa"/>
            <w:vAlign w:val="bottom"/>
          </w:tcPr>
          <w:p>
            <w:pPr>
              <w:ind w:left="160"/>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1920" w:type="dxa"/>
            <w:vAlign w:val="bottom"/>
            <w:shd w:val="clear" w:color="auto" w:fill="E5E5E5"/>
          </w:tcPr>
          <w:p>
            <w:pPr>
              <w:ind w:lef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Glenn Marino</w:t>
            </w:r>
          </w:p>
        </w:tc>
        <w:tc>
          <w:tcPr>
            <w:tcW w:w="520" w:type="dxa"/>
            <w:vAlign w:val="bottom"/>
            <w:shd w:val="clear" w:color="auto" w:fill="E5E5E5"/>
          </w:tcPr>
          <w:p>
            <w:pPr>
              <w:ind w:lef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E5E5E5"/>
          </w:tcPr>
          <w:p>
            <w:pPr>
              <w:jc w:val="center"/>
              <w:ind w:right="144"/>
              <w:spacing w:after="0"/>
              <w:rPr>
                <w:sz w:val="20"/>
                <w:szCs w:val="20"/>
                <w:color w:val="auto"/>
              </w:rPr>
            </w:pPr>
            <w:r>
              <w:rPr>
                <w:rFonts w:ascii="Arial" w:cs="Arial" w:eastAsia="Arial" w:hAnsi="Arial"/>
                <w:sz w:val="15"/>
                <w:szCs w:val="15"/>
                <w:color w:val="auto"/>
                <w:w w:val="92"/>
              </w:rPr>
              <w:t>Yes</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 ​</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w:t>
            </w:r>
          </w:p>
        </w:tc>
        <w:tc>
          <w:tcPr>
            <w:tcW w:w="16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E5E5E5"/>
          </w:tcPr>
          <w:p>
            <w:pPr>
              <w:jc w:val="center"/>
              <w:ind w:right="4"/>
              <w:spacing w:after="0"/>
              <w:rPr>
                <w:sz w:val="20"/>
                <w:szCs w:val="20"/>
                <w:color w:val="auto"/>
              </w:rPr>
            </w:pPr>
            <w:r>
              <w:rPr>
                <w:rFonts w:ascii="Arial" w:cs="Arial" w:eastAsia="Arial" w:hAnsi="Arial"/>
                <w:sz w:val="15"/>
                <w:szCs w:val="15"/>
                <w:color w:val="auto"/>
              </w:rPr>
              <w:t>Chair</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jc w:val="center"/>
              <w:ind w:left="4"/>
              <w:spacing w:after="0"/>
              <w:rPr>
                <w:sz w:val="20"/>
                <w:szCs w:val="20"/>
                <w:color w:val="auto"/>
              </w:rPr>
            </w:pPr>
            <w:r>
              <w:rPr>
                <w:rFonts w:ascii="Arial" w:cs="Arial" w:eastAsia="Arial" w:hAnsi="Arial"/>
                <w:sz w:val="15"/>
                <w:szCs w:val="15"/>
                <w:color w:val="auto"/>
              </w:rPr>
              <w:t>Member</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Member</w:t>
            </w:r>
          </w:p>
        </w:tc>
        <w:tc>
          <w:tcPr>
            <w:tcW w:w="2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r>
      <w:tr>
        <w:trPr>
          <w:trHeight w:val="270"/>
        </w:trPr>
        <w:tc>
          <w:tcPr>
            <w:tcW w:w="760" w:type="dxa"/>
            <w:vAlign w:val="bottom"/>
          </w:tcPr>
          <w:p>
            <w:pPr>
              <w:spacing w:after="0"/>
              <w:rPr>
                <w:sz w:val="23"/>
                <w:szCs w:val="23"/>
                <w:color w:val="auto"/>
              </w:rPr>
            </w:pPr>
          </w:p>
        </w:tc>
        <w:tc>
          <w:tcPr>
            <w:tcW w:w="1920" w:type="dxa"/>
            <w:vAlign w:val="bottom"/>
            <w:tcBorders>
              <w:bottom w:val="single" w:sz="8" w:color="auto"/>
            </w:tcBorders>
          </w:tcPr>
          <w:p>
            <w:pPr>
              <w:ind w:left="40"/>
              <w:spacing w:after="0" w:line="269"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Carol McFate</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color w:val="auto"/>
                <w:w w:val="92"/>
              </w:rPr>
              <w:t>Yes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Member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Chair</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3"/>
                <w:szCs w:val="23"/>
                <w:color w:val="auto"/>
              </w:rPr>
            </w:pPr>
          </w:p>
        </w:tc>
      </w:tr>
      <w:tr>
        <w:trPr>
          <w:trHeight w:val="204"/>
        </w:trPr>
        <w:tc>
          <w:tcPr>
            <w:tcW w:w="760" w:type="dxa"/>
            <w:vAlign w:val="bottom"/>
          </w:tcPr>
          <w:p>
            <w:pPr>
              <w:spacing w:after="0"/>
              <w:rPr>
                <w:sz w:val="17"/>
                <w:szCs w:val="17"/>
                <w:color w:val="auto"/>
              </w:rPr>
            </w:pPr>
          </w:p>
        </w:tc>
        <w:tc>
          <w:tcPr>
            <w:tcW w:w="192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Number of Committee</w:t>
            </w:r>
          </w:p>
        </w:tc>
        <w:tc>
          <w:tcPr>
            <w:tcW w:w="520" w:type="dxa"/>
            <w:vAlign w:val="bottom"/>
            <w:shd w:val="clear" w:color="auto" w:fill="E5E5E5"/>
          </w:tcPr>
          <w:p>
            <w:pPr>
              <w:ind w:lef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E5E5E5"/>
          </w:tcPr>
          <w:p>
            <w:pPr>
              <w:jc w:val="center"/>
              <w:ind w:right="144"/>
              <w:spacing w:after="0"/>
              <w:rPr>
                <w:sz w:val="20"/>
                <w:szCs w:val="20"/>
                <w:color w:val="auto"/>
              </w:rPr>
            </w:pPr>
            <w:r>
              <w:rPr>
                <w:rFonts w:ascii="Arial" w:cs="Arial" w:eastAsia="Arial" w:hAnsi="Arial"/>
                <w:sz w:val="15"/>
                <w:szCs w:val="15"/>
                <w:color w:val="auto"/>
              </w:rPr>
              <w:t>—</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 ​</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color w:val="auto"/>
                <w:w w:val="95"/>
              </w:rPr>
              <w:t>8</w:t>
            </w:r>
          </w:p>
        </w:tc>
        <w:tc>
          <w:tcPr>
            <w:tcW w:w="16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E5E5E5"/>
          </w:tcPr>
          <w:p>
            <w:pPr>
              <w:jc w:val="center"/>
              <w:ind w:right="4"/>
              <w:spacing w:after="0"/>
              <w:rPr>
                <w:sz w:val="20"/>
                <w:szCs w:val="20"/>
                <w:color w:val="auto"/>
              </w:rPr>
            </w:pPr>
            <w:r>
              <w:rPr>
                <w:rFonts w:ascii="Arial" w:cs="Arial" w:eastAsia="Arial" w:hAnsi="Arial"/>
                <w:sz w:val="15"/>
                <w:szCs w:val="15"/>
                <w:color w:val="auto"/>
                <w:w w:val="95"/>
              </w:rPr>
              <w:t>5</w:t>
            </w:r>
          </w:p>
        </w:tc>
        <w:tc>
          <w:tcPr>
            <w:tcW w:w="140" w:type="dxa"/>
            <w:vAlign w:val="bottom"/>
            <w:shd w:val="clear" w:color="auto" w:fill="E5E5E5"/>
          </w:tcPr>
          <w:p>
            <w:pPr>
              <w:ind w:lef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jc w:val="center"/>
              <w:ind w:left="24"/>
              <w:spacing w:after="0"/>
              <w:rPr>
                <w:sz w:val="20"/>
                <w:szCs w:val="20"/>
                <w:color w:val="auto"/>
              </w:rPr>
            </w:pPr>
            <w:r>
              <w:rPr>
                <w:rFonts w:ascii="Arial" w:cs="Arial" w:eastAsia="Arial" w:hAnsi="Arial"/>
                <w:sz w:val="15"/>
                <w:szCs w:val="15"/>
                <w:color w:val="auto"/>
              </w:rPr>
              <w:t>5</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5"/>
                <w:szCs w:val="15"/>
                <w:color w:val="auto"/>
                <w:w w:val="95"/>
              </w:rPr>
              <w:t>5</w:t>
            </w:r>
          </w:p>
        </w:tc>
        <w:tc>
          <w:tcPr>
            <w:tcW w:w="2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7"/>
                <w:szCs w:val="17"/>
                <w:color w:val="auto"/>
              </w:rPr>
            </w:pPr>
          </w:p>
        </w:tc>
      </w:tr>
      <w:tr>
        <w:trPr>
          <w:trHeight w:val="254"/>
        </w:trPr>
        <w:tc>
          <w:tcPr>
            <w:tcW w:w="760" w:type="dxa"/>
            <w:vAlign w:val="bottom"/>
          </w:tcPr>
          <w:p>
            <w:pPr>
              <w:spacing w:after="0"/>
              <w:rPr>
                <w:sz w:val="21"/>
                <w:szCs w:val="21"/>
                <w:color w:val="auto"/>
              </w:rPr>
            </w:pPr>
          </w:p>
        </w:tc>
        <w:tc>
          <w:tcPr>
            <w:tcW w:w="192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Meetings in 2025</w:t>
            </w:r>
          </w:p>
        </w:tc>
        <w:tc>
          <w:tcPr>
            <w:tcW w:w="520" w:type="dxa"/>
            <w:vAlign w:val="bottom"/>
            <w:tcBorders>
              <w:bottom w:val="single" w:sz="8" w:color="E5E5E5"/>
            </w:tcBorders>
            <w:shd w:val="clear" w:color="auto" w:fill="E5E5E5"/>
          </w:tcPr>
          <w:p>
            <w:pPr>
              <w:spacing w:after="0"/>
              <w:rPr>
                <w:sz w:val="21"/>
                <w:szCs w:val="21"/>
                <w:color w:val="auto"/>
              </w:rPr>
            </w:pPr>
          </w:p>
        </w:tc>
        <w:tc>
          <w:tcPr>
            <w:tcW w:w="86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E5E5E5"/>
            </w:tcBorders>
            <w:shd w:val="clear" w:color="auto" w:fill="E5E5E5"/>
          </w:tcPr>
          <w:p>
            <w:pPr>
              <w:spacing w:after="0"/>
              <w:rPr>
                <w:sz w:val="21"/>
                <w:szCs w:val="21"/>
                <w:color w:val="auto"/>
              </w:rPr>
            </w:pPr>
          </w:p>
        </w:tc>
        <w:tc>
          <w:tcPr>
            <w:tcW w:w="94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00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E5E5E5"/>
            </w:tcBorders>
            <w:shd w:val="clear" w:color="auto" w:fill="E5E5E5"/>
          </w:tcPr>
          <w:p>
            <w:pPr>
              <w:spacing w:after="0"/>
              <w:rPr>
                <w:sz w:val="21"/>
                <w:szCs w:val="21"/>
                <w:color w:val="auto"/>
              </w:rPr>
            </w:pPr>
          </w:p>
        </w:tc>
        <w:tc>
          <w:tcPr>
            <w:tcW w:w="15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34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E5E5E5"/>
            </w:tcBorders>
            <w:shd w:val="clear" w:color="auto" w:fill="E5E5E5"/>
          </w:tcPr>
          <w:p>
            <w:pPr>
              <w:spacing w:after="0"/>
              <w:rPr>
                <w:sz w:val="21"/>
                <w:szCs w:val="21"/>
                <w:color w:val="auto"/>
              </w:rPr>
            </w:pPr>
          </w:p>
        </w:tc>
        <w:tc>
          <w:tcPr>
            <w:tcW w:w="760" w:type="dxa"/>
            <w:vAlign w:val="bottom"/>
          </w:tcPr>
          <w:p>
            <w:pPr>
              <w:spacing w:after="0"/>
              <w:rPr>
                <w:sz w:val="21"/>
                <w:szCs w:val="21"/>
                <w:color w:val="auto"/>
              </w:rPr>
            </w:pPr>
          </w:p>
        </w:tc>
      </w:tr>
      <w:tr>
        <w:trPr>
          <w:trHeight w:val="653"/>
        </w:trPr>
        <w:tc>
          <w:tcPr>
            <w:tcW w:w="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760" w:type="dxa"/>
            <w:vAlign w:val="bottom"/>
          </w:tcPr>
          <w:p>
            <w:pPr>
              <w:spacing w:after="0"/>
              <w:rPr>
                <w:sz w:val="24"/>
                <w:szCs w:val="24"/>
                <w:color w:val="auto"/>
              </w:rPr>
            </w:pPr>
          </w:p>
        </w:tc>
      </w:tr>
      <w:tr>
        <w:trPr>
          <w:trHeight w:val="373"/>
        </w:trPr>
        <w:tc>
          <w:tcPr>
            <w:tcW w:w="7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CORPORATE GOVERNANCE</w:t>
      </w:r>
    </w:p>
    <w:p>
      <w:pPr>
        <w:spacing w:after="0" w:line="376" w:lineRule="exact"/>
        <w:rPr>
          <w:sz w:val="20"/>
          <w:szCs w:val="20"/>
          <w:color w:val="auto"/>
        </w:rPr>
      </w:pPr>
    </w:p>
    <w:p>
      <w:pPr>
        <w:jc w:val="both"/>
        <w:ind w:left="1120" w:hanging="358"/>
        <w:spacing w:after="0" w:line="295" w:lineRule="auto"/>
        <w:tabs>
          <w:tab w:leader="none" w:pos="11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As noted above, Mr. Fadel’s service as a director ended upon his resignation as director and Chief Executive Officer of the Company on June 1, 2025, which was not due to any disagreement with the Company on any matters relating to the Company’s operations, practices or policies.</w:t>
      </w:r>
    </w:p>
    <w:p>
      <w:pPr>
        <w:spacing w:after="0" w:line="14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The Board has determined whether the director is independent as described above under “Independent Directors”.</w:t>
      </w:r>
    </w:p>
    <w:p>
      <w:pPr>
        <w:spacing w:after="0" w:line="26" w:lineRule="exact"/>
        <w:rPr>
          <w:rFonts w:ascii="Arial" w:cs="Arial" w:eastAsia="Arial" w:hAnsi="Arial"/>
          <w:sz w:val="14"/>
          <w:szCs w:val="14"/>
          <w:i w:val="1"/>
          <w:iCs w:val="1"/>
          <w:color w:val="auto"/>
        </w:rPr>
      </w:pPr>
    </w:p>
    <w:p>
      <w:pPr>
        <w:ind w:left="1120" w:hanging="358"/>
        <w:spacing w:after="0" w:line="304" w:lineRule="auto"/>
        <w:tabs>
          <w:tab w:leader="none" w:pos="11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The Board has determined that Mr. Brown is an “audit committee financial expert” as defined by SEC rules and that each of Mr. Lewis and Ms. McFate meets the financial sophistication requirements for Nasdaq audit committee members.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Audit &amp; Risk Committee</w:t>
      </w:r>
    </w:p>
    <w:p>
      <w:pPr>
        <w:spacing w:after="0" w:line="160"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The Audit &amp; Risk Committee assists the Board in fulfilling its oversight responsibilities by reviewing risks relating to accounting matters, financial reporting, legal and regulatory compliance, and other enterprise-wide risks. To satisfy these oversight responsibilities, our Audit &amp; Risk Committee reviews, among other things:</w:t>
      </w:r>
    </w:p>
    <w:p>
      <w:pPr>
        <w:spacing w:after="0" w:line="70" w:lineRule="exact"/>
        <w:rPr>
          <w:sz w:val="20"/>
          <w:szCs w:val="20"/>
          <w:color w:val="auto"/>
        </w:rPr>
      </w:pPr>
    </w:p>
    <w:p>
      <w:pPr>
        <w:ind w:left="940" w:hanging="178"/>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financial reports and other financial information provided by us to the SEC or the public;</w:t>
      </w:r>
    </w:p>
    <w:p>
      <w:pPr>
        <w:spacing w:after="0" w:line="126" w:lineRule="exact"/>
        <w:rPr>
          <w:rFonts w:ascii="Arial" w:cs="Arial" w:eastAsia="Arial" w:hAnsi="Arial"/>
          <w:sz w:val="16"/>
          <w:szCs w:val="16"/>
          <w:color w:val="auto"/>
        </w:rPr>
      </w:pPr>
    </w:p>
    <w:p>
      <w:pPr>
        <w:ind w:left="940" w:right="20" w:hanging="178"/>
        <w:spacing w:after="0" w:line="286"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systems of controls regarding finance, accounting, legal compliance and ethics that management and the Board have established;</w:t>
      </w:r>
    </w:p>
    <w:p>
      <w:pPr>
        <w:spacing w:after="0" w:line="61" w:lineRule="exact"/>
        <w:rPr>
          <w:rFonts w:ascii="Arial" w:cs="Arial" w:eastAsia="Arial" w:hAnsi="Arial"/>
          <w:sz w:val="16"/>
          <w:szCs w:val="16"/>
          <w:color w:val="auto"/>
        </w:rPr>
      </w:pPr>
    </w:p>
    <w:p>
      <w:pPr>
        <w:ind w:left="940" w:hanging="178"/>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independent auditor’s qualifications and independence;</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performance of our internal audit function and our independent auditors;</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efficacy and efficiency of our auditing, accounting and financial reporting processes generally; and</w:t>
      </w:r>
    </w:p>
    <w:p>
      <w:pPr>
        <w:spacing w:after="0" w:line="113" w:lineRule="exact"/>
        <w:rPr>
          <w:rFonts w:ascii="Arial" w:cs="Arial" w:eastAsia="Arial" w:hAnsi="Arial"/>
          <w:sz w:val="16"/>
          <w:szCs w:val="16"/>
          <w:color w:val="auto"/>
        </w:rPr>
      </w:pPr>
    </w:p>
    <w:p>
      <w:pPr>
        <w:ind w:left="940" w:right="20" w:hanging="178"/>
        <w:spacing w:after="0" w:line="304"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risk management practices, other than cybersecurity risk oversight, which is overseen by the Cybersecurity, Technology and Innovation Committee.</w:t>
      </w:r>
    </w:p>
    <w:p>
      <w:pPr>
        <w:spacing w:after="0" w:line="74" w:lineRule="exact"/>
        <w:rPr>
          <w:sz w:val="20"/>
          <w:szCs w:val="20"/>
          <w:color w:val="auto"/>
        </w:rPr>
      </w:pPr>
    </w:p>
    <w:p>
      <w:pPr>
        <w:jc w:val="both"/>
        <w:ind w:left="760"/>
        <w:spacing w:after="0" w:line="268" w:lineRule="auto"/>
        <w:rPr>
          <w:sz w:val="20"/>
          <w:szCs w:val="20"/>
          <w:color w:val="auto"/>
        </w:rPr>
      </w:pPr>
      <w:r>
        <w:rPr>
          <w:rFonts w:ascii="Arial" w:cs="Arial" w:eastAsia="Arial" w:hAnsi="Arial"/>
          <w:sz w:val="16"/>
          <w:szCs w:val="16"/>
          <w:color w:val="auto"/>
        </w:rPr>
        <w:t>The Audit &amp; Risk Committee has the direct responsibility for the appointment, compensation, retention and oversight of our independent auditors, and reviews our internal audit department’s reports, responsibilities, budget and staffing. In addition, the Audit &amp; Risk Committee meets regularly with our Chief Financial Officer, the head of our internal audit department, our independent auditors and management (including regularly scheduled executive sessions with the head of our internal audit department and our independent auditors). The Audit &amp; Risk Committee also oversees compliance with our Code of Business Conduct and Ethics.</w:t>
      </w:r>
    </w:p>
    <w:p>
      <w:pPr>
        <w:spacing w:after="0" w:line="104"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 xml:space="preserve">The Audit &amp; Risk Committee pre-approves all audit and non-audit services provided by our independent auditors, other than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exceptions for non-audit services that may from time to time be approved by the Audit &amp; Risk Committee. The Audit &amp;</w:t>
      </w:r>
      <w:r>
        <w:rPr>
          <w:rFonts w:ascii="Arial" w:cs="Arial" w:eastAsia="Arial" w:hAnsi="Arial"/>
          <w:sz w:val="16"/>
          <w:szCs w:val="16"/>
          <w:i w:val="1"/>
          <w:iCs w:val="1"/>
          <w:color w:val="auto"/>
        </w:rPr>
        <w:t xml:space="preserve"> </w:t>
      </w:r>
      <w:r>
        <w:rPr>
          <w:rFonts w:ascii="Arial" w:cs="Arial" w:eastAsia="Arial" w:hAnsi="Arial"/>
          <w:sz w:val="16"/>
          <w:szCs w:val="16"/>
          <w:color w:val="auto"/>
        </w:rPr>
        <w:t>Risk Committee may delegate pre-approval authority to one or more of its members from time to time or may adopt specific pre-approval policies and procedures; however, any such pre-approvals must in all cases be presented for ratification by the Audit &amp; Risk Committee at its next scheduled meeting.</w:t>
      </w:r>
    </w:p>
    <w:p>
      <w:pPr>
        <w:spacing w:after="0" w:line="118"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Pursuant to its charter, the Audit &amp; Risk Committee has the authority, to the extent it deems necessary or appropriate, to retain consultants, legal counsel or other advisors and has the sole authority to approve the fees and other retention terms with respect to such advisors.</w:t>
      </w:r>
    </w:p>
    <w:p>
      <w:pPr>
        <w:spacing w:after="0" w:line="97" w:lineRule="exact"/>
        <w:rPr>
          <w:sz w:val="20"/>
          <w:szCs w:val="20"/>
          <w:color w:val="auto"/>
        </w:rPr>
      </w:pPr>
    </w:p>
    <w:p>
      <w:pPr>
        <w:ind w:left="760"/>
        <w:spacing w:after="0"/>
        <w:tabs>
          <w:tab w:leader="none" w:pos="1160" w:val="left"/>
          <w:tab w:leader="none" w:pos="1740" w:val="left"/>
          <w:tab w:leader="none" w:pos="2140" w:val="left"/>
          <w:tab w:leader="none" w:pos="2860" w:val="left"/>
          <w:tab w:leader="none" w:pos="3080" w:val="left"/>
          <w:tab w:leader="none" w:pos="3740" w:val="left"/>
          <w:tab w:leader="none" w:pos="4060" w:val="left"/>
          <w:tab w:leader="none" w:pos="4420" w:val="left"/>
          <w:tab w:leader="none" w:pos="4940" w:val="left"/>
          <w:tab w:leader="none" w:pos="5180" w:val="left"/>
          <w:tab w:leader="none" w:pos="5640" w:val="left"/>
          <w:tab w:leader="none" w:pos="6600" w:val="left"/>
          <w:tab w:leader="none" w:pos="7160" w:val="left"/>
          <w:tab w:leader="none" w:pos="7560" w:val="left"/>
          <w:tab w:leader="none" w:pos="7880" w:val="left"/>
          <w:tab w:leader="none" w:pos="8420" w:val="left"/>
          <w:tab w:leader="none" w:pos="8740" w:val="left"/>
          <w:tab w:leader="none" w:pos="9120" w:val="left"/>
          <w:tab w:leader="none" w:pos="9800" w:val="left"/>
        </w:tabs>
        <w:rPr>
          <w:sz w:val="20"/>
          <w:szCs w:val="20"/>
          <w:color w:val="auto"/>
        </w:rPr>
      </w:pPr>
      <w:r>
        <w:rPr>
          <w:rFonts w:ascii="Arial" w:cs="Arial" w:eastAsia="Arial" w:hAnsi="Arial"/>
          <w:sz w:val="16"/>
          <w:szCs w:val="16"/>
          <w:color w:val="auto"/>
        </w:rPr>
        <w:t>The</w:t>
        <w:tab/>
        <w:t>Board</w:t>
        <w:tab/>
        <w:t>has</w:t>
        <w:tab/>
        <w:t>adopted</w:t>
        <w:tab/>
        <w:t>a</w:t>
        <w:tab/>
        <w:t>charter</w:t>
        <w:tab/>
        <w:t>for</w:t>
        <w:tab/>
        <w:t>the</w:t>
        <w:tab/>
        <w:t>Audit</w:t>
        <w:tab/>
        <w:t>&amp;</w:t>
        <w:tab/>
        <w:t>Risk</w:t>
        <w:tab/>
        <w:t>Committee,</w:t>
        <w:tab/>
        <w:t>which</w:t>
        <w:tab/>
        <w:t>can</w:t>
        <w:tab/>
        <w:t>be</w:t>
        <w:tab/>
        <w:t>found</w:t>
        <w:tab/>
        <w:t>on</w:t>
        <w:tab/>
        <w:t>our</w:t>
        <w:tab/>
        <w:t>website</w:t>
        <w:tab/>
        <w:t>at</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https://investor.upbound.com/corporate-governance/governance-documents</w:t>
      </w:r>
      <w:r>
        <w:rPr>
          <w:rFonts w:ascii="Arial" w:cs="Arial" w:eastAsia="Arial" w:hAnsi="Arial"/>
          <w:sz w:val="16"/>
          <w:szCs w:val="16"/>
          <w:color w:val="auto"/>
        </w:rPr>
        <w:t>. References in this proxy statement to our website</w:t>
      </w:r>
    </w:p>
    <w:p>
      <w:pPr>
        <w:spacing w:after="0" w:line="19"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color w:val="auto"/>
        </w:rPr>
        <w:t>address are provided only as a convenience and do not constitute, and should not be viewed as, an incorporation by reference of the information contained on, or available through, the website. Therefore, such information should not be considered part of this proxy statement. The Audit &amp; Risk Committee reviews, updates and assesses the adequacy of its charter on an annual basis and may recommend any proposed modifications to its charter to the Board for its approval, if and when appropriate.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among other things:</w:t>
      </w:r>
    </w:p>
    <w:p>
      <w:pPr>
        <w:spacing w:after="0" w:line="127" w:lineRule="exact"/>
        <w:rPr>
          <w:sz w:val="20"/>
          <w:szCs w:val="20"/>
          <w:color w:val="auto"/>
        </w:rPr>
      </w:pPr>
    </w:p>
    <w:p>
      <w:pPr>
        <w:jc w:val="both"/>
        <w:ind w:left="940" w:hanging="178"/>
        <w:spacing w:after="0" w:line="275"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discharges the Board’s responsibilities with respect to all forms of compensation of our Chief Executive Officer, Chief Financial Officer, and each of our Executive Vice Presidents, including assessing the risks associated with our compensation policies, practices and programs;</w:t>
      </w:r>
    </w:p>
    <w:p>
      <w:pPr>
        <w:spacing w:after="0" w:line="69" w:lineRule="exact"/>
        <w:rPr>
          <w:rFonts w:ascii="Arial" w:cs="Arial" w:eastAsia="Arial" w:hAnsi="Arial"/>
          <w:sz w:val="16"/>
          <w:szCs w:val="16"/>
          <w:color w:val="auto"/>
        </w:rPr>
      </w:pPr>
    </w:p>
    <w:p>
      <w:pPr>
        <w:ind w:left="940" w:hanging="178"/>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administers our equity incentive plans;</w:t>
      </w:r>
    </w:p>
    <w:p>
      <w:pPr>
        <w:spacing w:after="0" w:line="113" w:lineRule="exact"/>
        <w:rPr>
          <w:rFonts w:ascii="Arial" w:cs="Arial" w:eastAsia="Arial" w:hAnsi="Arial"/>
          <w:sz w:val="16"/>
          <w:szCs w:val="16"/>
          <w:color w:val="auto"/>
        </w:rPr>
      </w:pPr>
    </w:p>
    <w:p>
      <w:pPr>
        <w:jc w:val="both"/>
        <w:ind w:left="940" w:hanging="178"/>
        <w:spacing w:after="0" w:line="271"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reviews and discusses with our management the Compensation Discussion and Analysis to be included in our annual proxy statement, Annual Report on Form 10-K or information statement, as applicable, and makes a recommendation to the Board as to whether the Compensation Discussion and Analysis should be included in our annual proxy statement, Annual Report on Form 10-K or any information statement, as applicable; and</w:t>
      </w:r>
    </w:p>
    <w:p>
      <w:pPr>
        <w:spacing w:after="0" w:line="200" w:lineRule="exact"/>
        <w:rPr>
          <w:sz w:val="20"/>
          <w:szCs w:val="20"/>
          <w:color w:val="auto"/>
        </w:rPr>
      </w:pPr>
    </w:p>
    <w:p>
      <w:pPr>
        <w:spacing w:after="0" w:line="243"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16</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ind w:left="940" w:right="40" w:hanging="178"/>
        <w:spacing w:after="0" w:line="286" w:lineRule="auto"/>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recommends to the Board the form and amount of director compensation and conducts a review of such compensation from time to time, as appropriate.</w:t>
      </w:r>
    </w:p>
    <w:p>
      <w:pPr>
        <w:spacing w:after="0" w:line="102"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 xml:space="preserve">The Board has adopted a charter for the Compensation Committee, which can be found on our website at </w:t>
      </w:r>
      <w:r>
        <w:rPr>
          <w:rFonts w:ascii="Arial" w:cs="Arial" w:eastAsia="Arial" w:hAnsi="Arial"/>
          <w:sz w:val="16"/>
          <w:szCs w:val="16"/>
          <w:i w:val="1"/>
          <w:iCs w:val="1"/>
          <w:color w:val="auto"/>
        </w:rPr>
        <w:t>https://investor.upbound.com/corporate-governance/governance-documents</w:t>
      </w:r>
      <w:r>
        <w:rPr>
          <w:rFonts w:ascii="Arial" w:cs="Arial" w:eastAsia="Arial" w:hAnsi="Arial"/>
          <w:sz w:val="16"/>
          <w:szCs w:val="16"/>
          <w:color w:val="auto"/>
        </w:rPr>
        <w:t>. References in this proxy statement to our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 are provided only as a convenience and do not constitute, and should not be viewed as, an incorporation by reference of the information contained on, or available through, the website. Therefore, such information should not be considered part of this proxy statement. In addition, the Compensation Committee reviews, updates and assesses the adequacy of its charter on an annual basis and may recommend any proposed modifications to its charter to the Board for its approval, if and when appropriate.</w:t>
      </w:r>
    </w:p>
    <w:p>
      <w:pPr>
        <w:spacing w:after="0" w:line="307"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The Compensation Committee’s processes for fulfilling its responsibilities and duties with respect to executive compensation and the role of our executive officers in the compensation process are described in the section “Compensation Discussion and Analysis — Compensation Process” below in this proxy statement.</w:t>
      </w:r>
    </w:p>
    <w:p>
      <w:pPr>
        <w:spacing w:after="0" w:line="110"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Pursuant to its charter, the Compensation Committee has the authority, to the extent it deems necessary or appropriate, to retain compensation consultants, independent legal counsel or other advisors and has the sole authority to approve the fees and other retention terms with respect to such advisors. The Compensation Committee regularly engages compensation consultants to advise it on certain matters. See the section “Compensation Discussion and Analysis — Compensation Process” below in this proxy statement for more information. In addition, the Compensation Committee also has the authority, to the extent it deems necessary or appropriate, to delegate matters to a sub-committee composed of members of the Compensation Committee.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47"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The Nominating and Corporate Governance Committee manages risks associated with corporate governance and potential conflicts of interest and assists the Board in fulfilling its responsibilities by, among other things:</w:t>
      </w:r>
    </w:p>
    <w:p>
      <w:pPr>
        <w:spacing w:after="0" w:line="47" w:lineRule="exact"/>
        <w:rPr>
          <w:sz w:val="20"/>
          <w:szCs w:val="20"/>
          <w:color w:val="auto"/>
        </w:rPr>
      </w:pPr>
    </w:p>
    <w:p>
      <w:pPr>
        <w:ind w:left="940" w:right="60" w:hanging="178"/>
        <w:spacing w:after="0" w:line="263" w:lineRule="auto"/>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identifying individuals believed to be qualified to become members of the Board, consistent with criteria approved by the Board;</w:t>
      </w:r>
    </w:p>
    <w:p>
      <w:pPr>
        <w:spacing w:after="0" w:line="297"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recommending to the Board candidates for election or re-election as directors, including director candidates submitted by the Company’s stockholders;</w:t>
      </w:r>
    </w:p>
    <w:p>
      <w:pPr>
        <w:spacing w:after="0" w:line="46" w:lineRule="exact"/>
        <w:rPr>
          <w:rFonts w:ascii="Arial" w:cs="Arial" w:eastAsia="Arial" w:hAnsi="Arial"/>
          <w:sz w:val="16"/>
          <w:szCs w:val="16"/>
          <w:color w:val="auto"/>
        </w:rPr>
      </w:pPr>
    </w:p>
    <w:p>
      <w:pPr>
        <w:ind w:left="940" w:hanging="178"/>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recommending members of the Board to serve on committees;</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overseeing, reviewing and making periodic recommendations to the Board concerning our corporate governance policies;</w:t>
      </w:r>
    </w:p>
    <w:p>
      <w:pPr>
        <w:spacing w:after="0" w:line="113"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directing the succession planning efforts for the Chief Executive Officer and reviewing management’s succession planning process with respect to our other senior executive officers; and</w:t>
      </w:r>
    </w:p>
    <w:p>
      <w:pPr>
        <w:spacing w:after="0" w:line="46" w:lineRule="exact"/>
        <w:rPr>
          <w:rFonts w:ascii="Arial" w:cs="Arial" w:eastAsia="Arial" w:hAnsi="Arial"/>
          <w:sz w:val="16"/>
          <w:szCs w:val="16"/>
          <w:color w:val="auto"/>
        </w:rPr>
      </w:pPr>
    </w:p>
    <w:p>
      <w:pPr>
        <w:ind w:left="940" w:hanging="178"/>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overseeing the public reporting regarding our corporate responsibility initiatives.</w:t>
      </w:r>
    </w:p>
    <w:p>
      <w:pPr>
        <w:spacing w:after="0" w:line="154"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Pursuant to its charter, the Nominating and Corporate Governance Committee has the authority, to the extent it deems necessary or appropriate, to retain consultants, legal counsel or other advisors and has the sole authority to approve the fees and other retention terms with respect to such advisors.</w:t>
      </w:r>
    </w:p>
    <w:p>
      <w:pPr>
        <w:spacing w:after="0" w:line="110"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 xml:space="preserve">The Board has adopted a written charter for the Nominating and Corporate Governance Committee, which is available on our website at </w:t>
      </w:r>
      <w:r>
        <w:rPr>
          <w:rFonts w:ascii="Arial" w:cs="Arial" w:eastAsia="Arial" w:hAnsi="Arial"/>
          <w:sz w:val="16"/>
          <w:szCs w:val="16"/>
          <w:i w:val="1"/>
          <w:iCs w:val="1"/>
          <w:color w:val="auto"/>
        </w:rPr>
        <w:t>https://investor.upbound.com/corporate-governance/governance-documents</w:t>
      </w:r>
      <w:r>
        <w:rPr>
          <w:rFonts w:ascii="Arial" w:cs="Arial" w:eastAsia="Arial" w:hAnsi="Arial"/>
          <w:sz w:val="16"/>
          <w:szCs w:val="16"/>
          <w:color w:val="auto"/>
        </w:rPr>
        <w:t>. References in this proxy statement to our website address are provided only as a convenience and do not constitute, and should not be viewed as, an incorporation by reference of the information contained on, or available through, the website. Therefore, such information should not be considered part of this proxy statement. In addition, the Nominating and Corporate Governance Committee reviews, updates and assesses the adequacy of its charter on an annual basis and may recommend any proposed modifications to its charter to the Board for its approval, if and when appropriate.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Cybersecurity, Technology and Innovation Committee</w:t>
      </w:r>
    </w:p>
    <w:p>
      <w:pPr>
        <w:spacing w:after="0" w:line="160"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The Cybersecurity, Technology and Innovation Committee assists the Board in its oversight related to matters of cybersecurity, technology and innovation including by, among other things, reviewing and discussing:</w:t>
      </w:r>
    </w:p>
    <w:p>
      <w:pPr>
        <w:spacing w:after="0" w:line="33" w:lineRule="exact"/>
        <w:rPr>
          <w:sz w:val="20"/>
          <w:szCs w:val="20"/>
          <w:color w:val="auto"/>
        </w:rPr>
      </w:pPr>
    </w:p>
    <w:p>
      <w:pPr>
        <w:ind w:left="940" w:right="40" w:hanging="178"/>
        <w:spacing w:after="0" w:line="304" w:lineRule="auto"/>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Company’s execution of digital and other technology and innovation strategies that are incorporated into any strategic plans approved by the Board;</w:t>
      </w:r>
    </w:p>
    <w:p>
      <w:pPr>
        <w:spacing w:after="0" w:line="46"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specific technology and innovation matters and identifying those that could have a significant impact on Company operations, performance, culture, or reputation;</w:t>
      </w:r>
    </w:p>
    <w:p>
      <w:pPr>
        <w:spacing w:after="0" w:line="200" w:lineRule="exact"/>
        <w:rPr>
          <w:sz w:val="20"/>
          <w:szCs w:val="20"/>
          <w:color w:val="auto"/>
        </w:rPr>
      </w:pPr>
    </w:p>
    <w:p>
      <w:pPr>
        <w:spacing w:after="0" w:line="20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CORPORATE GOVERNANCE</w:t>
      </w:r>
    </w:p>
    <w:p>
      <w:pPr>
        <w:spacing w:after="0" w:line="370" w:lineRule="exact"/>
        <w:rPr>
          <w:sz w:val="20"/>
          <w:szCs w:val="20"/>
          <w:color w:val="auto"/>
        </w:rPr>
      </w:pPr>
    </w:p>
    <w:p>
      <w:pPr>
        <w:ind w:left="940" w:hanging="178"/>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cybersecurity- and technology-related risks and management’s efforts to monitor and mitigate those risks; and</w:t>
      </w:r>
    </w:p>
    <w:p>
      <w:pPr>
        <w:spacing w:after="0" w:line="113"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cybersecurity, cyber-resiliency and technology aspects of the Company’s business continuity and disaster recovery capabilities.</w:t>
      </w:r>
    </w:p>
    <w:p>
      <w:pPr>
        <w:spacing w:after="0" w:line="74"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Pursuant to its charter, the Cybersecurity, Technology and Innovation Committee has the authority, to the extent it deems necessary or appropriate, to retain consultants, legal counsel or other advisors and has the sole authority to approve the fees and other retention terms with respect to such advisors.</w:t>
      </w:r>
    </w:p>
    <w:p>
      <w:pPr>
        <w:spacing w:after="0" w:line="89"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 xml:space="preserve">The Board has adopted a charter for the Cybersecurity, Technology and Innovation Committee, which can be found on our website at </w:t>
      </w:r>
      <w:r>
        <w:rPr>
          <w:rFonts w:ascii="Arial" w:cs="Arial" w:eastAsia="Arial" w:hAnsi="Arial"/>
          <w:sz w:val="16"/>
          <w:szCs w:val="16"/>
          <w:i w:val="1"/>
          <w:iCs w:val="1"/>
          <w:color w:val="auto"/>
        </w:rPr>
        <w:t>https://investor.upbound.com/corporate-governance/governance-documents</w:t>
      </w:r>
      <w:r>
        <w:rPr>
          <w:rFonts w:ascii="Arial" w:cs="Arial" w:eastAsia="Arial" w:hAnsi="Arial"/>
          <w:sz w:val="16"/>
          <w:szCs w:val="16"/>
          <w:color w:val="auto"/>
        </w:rPr>
        <w:t>. References in this proxy statement to our website address are provided only as a convenience and do not constitute, and should not be viewed as, an incorporation by reference of the information contained on, or available through, the website. Therefore, such information should not be considered part of this proxy statement. The Cybersecurity, Technology and Innovation Committee reviews, updates and assesses the adequacy of its charter on an annual basis, and may recommend any proposed modifications to its charter to the Board for its approval, if and when appropriate.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and Committee Self-Evaluations</w:t>
      </w:r>
    </w:p>
    <w:p>
      <w:pPr>
        <w:spacing w:after="0" w:line="149"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Each year, the Board and its committees perform a rigorous self-evaluation. The Nominating and Corporate Governance Committee oversees the process. The evaluations solicit input from directors regarding the performance and effectiveness of the Board, its committees and its members and provide an opportunity for directors to identify areas of potential enhancements. Individual director responses are submitted through a third-party firm engaged by the Company to administer the evaluation process and report the aggregated results, which are compiled for review and discussion by the Board and its committees. The Board believes this process is effective to evaluate the Board, its committees and the contributions of its members, and identify opportunities for continuous improvement.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General Risk Oversight</w:t>
      </w:r>
    </w:p>
    <w:p>
      <w:pPr>
        <w:spacing w:after="0" w:line="162"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color w:val="auto"/>
        </w:rPr>
        <w:t>Our Board takes an active role, as a whole and also at the committee level, in overseeing management of the Company’s significant risk areas. The Board and the relevant committees receive regular reports from members of senior management on areas of material risk to the Company, including operational, financial, strategic, competitive, reputational, cybersecurity, legal and regulatory risks. The Board also meets with senior management to discuss the key risks inherent in our short- and long-term strategies, and receives periodic updates on our strategic initiatives throughout the year. In addition, our Board has delegated the responsibility for oversight of certain risks to its standing committees, as discussed in this proxy statement. While each committee is responsible for evaluating certain risks and overseeing the management of such risks, our entire Board is regularly informed through committee reports concerning such risks and, in general, independent directors regularly attend committee meetings regardless of membership on that committee and the full Board is provided with all Board and standing committee meeting materials.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Cybersecurity Oversight</w:t>
      </w:r>
    </w:p>
    <w:p>
      <w:pPr>
        <w:spacing w:after="0" w:line="149"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The Board maintains oversight of the Company’s cybersecurity risk through regular updates from management and third-party resources. Specifically, the Cybersecurity, Technology and Innovation Committee receives updates from management, including the Vice President — Chief Information Security Officer and other members of the Company’s technology leadership team, regarding the status of ongoing projects to strengthen our defenses against cybersecurity events and reviews risks relevant to cybersecurity and existing controls in place to mitigate the risk and impacts of cybersecurity incidents. In addition, our Board has delegated responsibility to oversee the Company’s cybersecurity, technology and innovation strategy as well as the Company’s cybersecurity and technology risks. For additional information regarding the Company’s cybersecurity risk management strategy and governance, refer to Part 1, Item 1C of the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18</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21590</wp:posOffset>
            </wp:positionV>
            <wp:extent cx="58375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Cash Compensation</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an overview of the directors’ 2025 annual retainers.</w:t>
      </w:r>
    </w:p>
    <w:p>
      <w:pPr>
        <w:spacing w:after="0" w:line="62" w:lineRule="exact"/>
        <w:rPr>
          <w:sz w:val="20"/>
          <w:szCs w:val="20"/>
          <w:color w:val="auto"/>
        </w:rPr>
      </w:pPr>
    </w:p>
    <w:tbl>
      <w:tblPr>
        <w:tblLayout w:type="fixed"/>
        <w:tblInd w:w="760" w:type="dxa"/>
        <w:tblCellMar>
          <w:top w:w="0" w:type="dxa"/>
          <w:left w:w="0" w:type="dxa"/>
          <w:bottom w:w="0" w:type="dxa"/>
          <w:right w:w="0" w:type="dxa"/>
        </w:tblCellMar>
      </w:tblPr>
      <w:tr>
        <w:trPr>
          <w:trHeight w:val="389"/>
        </w:trPr>
        <w:tc>
          <w:tcPr>
            <w:tcW w:w="6260" w:type="dxa"/>
            <w:vAlign w:val="bottom"/>
            <w:tcBorders>
              <w:bottom w:val="single" w:sz="8" w:color="auto"/>
            </w:tcBorders>
          </w:tcPr>
          <w:p>
            <w:pPr>
              <w:spacing w:after="0"/>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Position</w:t>
            </w:r>
          </w:p>
        </w:tc>
        <w:tc>
          <w:tcPr>
            <w:tcW w:w="2940" w:type="dxa"/>
            <w:vAlign w:val="bottom"/>
            <w:tcBorders>
              <w:bottom w:val="single" w:sz="8" w:color="auto"/>
            </w:tcBorders>
            <w:gridSpan w:val="3"/>
          </w:tcPr>
          <w:p>
            <w:pPr>
              <w:ind w:left="1040"/>
              <w:spacing w:after="0"/>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5"/>
                <w:szCs w:val="15"/>
                <w:b w:val="1"/>
                <w:bCs w:val="1"/>
                <w:color w:val="auto"/>
              </w:rPr>
              <w:t xml:space="preserve"> 2025 Annual Retainer</w:t>
            </w:r>
            <w:r>
              <w:rPr>
                <w:rFonts w:ascii="Arial" w:cs="Arial" w:eastAsia="Arial" w:hAnsi="Arial"/>
                <w:sz w:val="30"/>
                <w:szCs w:val="30"/>
                <w:b w:val="1"/>
                <w:bCs w:val="1"/>
                <w:color w:val="auto"/>
                <w:vertAlign w:val="subscript"/>
              </w:rPr>
              <w:t>​</w:t>
            </w:r>
          </w:p>
        </w:tc>
      </w:tr>
      <w:tr>
        <w:trPr>
          <w:trHeight w:val="223"/>
        </w:trPr>
        <w:tc>
          <w:tcPr>
            <w:tcW w:w="6260" w:type="dxa"/>
            <w:vAlign w:val="bottom"/>
            <w:shd w:val="clear" w:color="auto" w:fill="E5E5E5"/>
          </w:tcPr>
          <w:p>
            <w:pPr>
              <w:ind w:left="40"/>
              <w:spacing w:after="0"/>
              <w:rPr>
                <w:sz w:val="20"/>
                <w:szCs w:val="20"/>
                <w:color w:val="auto"/>
              </w:rPr>
            </w:pPr>
            <w:r>
              <w:rPr>
                <w:rFonts w:ascii="Arial" w:cs="Arial" w:eastAsia="Arial" w:hAnsi="Arial"/>
                <w:sz w:val="15"/>
                <w:szCs w:val="15"/>
                <w:color w:val="auto"/>
              </w:rPr>
              <w:t>​All Non-Employee Directors (including the Chairman)</w:t>
            </w:r>
          </w:p>
        </w:tc>
        <w:tc>
          <w:tcPr>
            <w:tcW w:w="1520" w:type="dxa"/>
            <w:vAlign w:val="bottom"/>
            <w:shd w:val="clear" w:color="auto" w:fill="E5E5E5"/>
          </w:tcPr>
          <w:p>
            <w:pPr>
              <w:ind w:left="1080"/>
              <w:spacing w:after="0"/>
              <w:rPr>
                <w:sz w:val="20"/>
                <w:szCs w:val="20"/>
                <w:color w:val="auto"/>
              </w:rPr>
            </w:pPr>
            <w:r>
              <w:rPr>
                <w:rFonts w:ascii="Arial" w:cs="Arial" w:eastAsia="Arial" w:hAnsi="Arial"/>
                <w:sz w:val="15"/>
                <w:szCs w:val="15"/>
                <w:color w:val="auto"/>
              </w:rPr>
              <w:t>​ ​</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85,000​​</w:t>
            </w:r>
          </w:p>
        </w:tc>
      </w:tr>
      <w:tr>
        <w:trPr>
          <w:trHeight w:val="229"/>
        </w:trPr>
        <w:tc>
          <w:tcPr>
            <w:tcW w:w="6260" w:type="dxa"/>
            <w:vAlign w:val="bottom"/>
          </w:tcPr>
          <w:p>
            <w:pPr>
              <w:ind w:left="40"/>
              <w:spacing w:after="0"/>
              <w:rPr>
                <w:sz w:val="20"/>
                <w:szCs w:val="20"/>
                <w:color w:val="auto"/>
              </w:rPr>
            </w:pPr>
            <w:r>
              <w:rPr>
                <w:rFonts w:ascii="Arial" w:cs="Arial" w:eastAsia="Arial" w:hAnsi="Arial"/>
                <w:sz w:val="15"/>
                <w:szCs w:val="15"/>
                <w:color w:val="auto"/>
              </w:rPr>
              <w:t>​Chairman of the Board</w:t>
            </w:r>
          </w:p>
        </w:tc>
        <w:tc>
          <w:tcPr>
            <w:tcW w:w="1520" w:type="dxa"/>
            <w:vAlign w:val="bottom"/>
          </w:tcPr>
          <w:p>
            <w:pPr>
              <w:ind w:left="1080"/>
              <w:spacing w:after="0"/>
              <w:rPr>
                <w:sz w:val="20"/>
                <w:szCs w:val="20"/>
                <w:color w:val="auto"/>
              </w:rPr>
            </w:pPr>
            <w:r>
              <w:rPr>
                <w:rFonts w:ascii="Arial" w:cs="Arial" w:eastAsia="Arial" w:hAnsi="Arial"/>
                <w:sz w:val="15"/>
                <w:szCs w:val="15"/>
                <w:color w:val="auto"/>
              </w:rPr>
              <w:t>​ ​</w:t>
            </w:r>
          </w:p>
        </w:tc>
        <w:tc>
          <w:tcPr>
            <w:tcW w:w="580" w:type="dxa"/>
            <w:vAlign w:val="bottom"/>
          </w:tcPr>
          <w:p>
            <w:pPr>
              <w:ind w:left="3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200,000​​</w:t>
            </w:r>
          </w:p>
        </w:tc>
      </w:tr>
      <w:tr>
        <w:trPr>
          <w:trHeight w:val="243"/>
        </w:trPr>
        <w:tc>
          <w:tcPr>
            <w:tcW w:w="6260" w:type="dxa"/>
            <w:vAlign w:val="bottom"/>
            <w:shd w:val="clear" w:color="auto" w:fill="E5E5E5"/>
          </w:tcPr>
          <w:p>
            <w:pPr>
              <w:ind w:left="40"/>
              <w:spacing w:after="0"/>
              <w:rPr>
                <w:sz w:val="20"/>
                <w:szCs w:val="20"/>
                <w:color w:val="auto"/>
              </w:rPr>
            </w:pPr>
            <w:r>
              <w:rPr>
                <w:rFonts w:ascii="Arial" w:cs="Arial" w:eastAsia="Arial" w:hAnsi="Arial"/>
                <w:sz w:val="15"/>
                <w:szCs w:val="15"/>
                <w:color w:val="auto"/>
              </w:rPr>
              <w:t>​Chair of the Audit &amp; Risk Committee</w:t>
            </w:r>
          </w:p>
        </w:tc>
        <w:tc>
          <w:tcPr>
            <w:tcW w:w="1520" w:type="dxa"/>
            <w:vAlign w:val="bottom"/>
            <w:shd w:val="clear" w:color="auto" w:fill="E5E5E5"/>
          </w:tcPr>
          <w:p>
            <w:pPr>
              <w:ind w:left="1080"/>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ind w:left="300"/>
              <w:spacing w:after="0"/>
              <w:rPr>
                <w:sz w:val="20"/>
                <w:szCs w:val="20"/>
                <w:color w:val="auto"/>
              </w:rPr>
            </w:pPr>
            <w:r>
              <w:rPr>
                <w:rFonts w:ascii="Arial" w:cs="Arial" w:eastAsia="Arial" w:hAnsi="Arial"/>
                <w:sz w:val="15"/>
                <w:szCs w:val="15"/>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27,500​​</w:t>
            </w:r>
          </w:p>
        </w:tc>
      </w:tr>
      <w:tr>
        <w:trPr>
          <w:trHeight w:val="243"/>
        </w:trPr>
        <w:tc>
          <w:tcPr>
            <w:tcW w:w="6260" w:type="dxa"/>
            <w:vAlign w:val="bottom"/>
          </w:tcPr>
          <w:p>
            <w:pPr>
              <w:ind w:left="40"/>
              <w:spacing w:after="0"/>
              <w:rPr>
                <w:sz w:val="20"/>
                <w:szCs w:val="20"/>
                <w:color w:val="auto"/>
              </w:rPr>
            </w:pPr>
            <w:r>
              <w:rPr>
                <w:rFonts w:ascii="Arial" w:cs="Arial" w:eastAsia="Arial" w:hAnsi="Arial"/>
                <w:sz w:val="15"/>
                <w:szCs w:val="15"/>
                <w:color w:val="auto"/>
              </w:rPr>
              <w:t>​Other members of the Audit &amp; Risk Committee</w:t>
            </w:r>
          </w:p>
        </w:tc>
        <w:tc>
          <w:tcPr>
            <w:tcW w:w="1520" w:type="dxa"/>
            <w:vAlign w:val="bottom"/>
          </w:tcPr>
          <w:p>
            <w:pPr>
              <w:ind w:left="1080"/>
              <w:spacing w:after="0"/>
              <w:rPr>
                <w:sz w:val="20"/>
                <w:szCs w:val="20"/>
                <w:color w:val="auto"/>
              </w:rPr>
            </w:pPr>
            <w:r>
              <w:rPr>
                <w:rFonts w:ascii="Arial" w:cs="Arial" w:eastAsia="Arial" w:hAnsi="Arial"/>
                <w:sz w:val="15"/>
                <w:szCs w:val="15"/>
                <w:color w:val="auto"/>
              </w:rPr>
              <w:t>​ ​</w:t>
            </w:r>
          </w:p>
        </w:tc>
        <w:tc>
          <w:tcPr>
            <w:tcW w:w="580" w:type="dxa"/>
            <w:vAlign w:val="bottom"/>
          </w:tcPr>
          <w:p>
            <w:pPr>
              <w:ind w:left="3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15,000​​</w:t>
            </w:r>
          </w:p>
        </w:tc>
      </w:tr>
      <w:tr>
        <w:trPr>
          <w:trHeight w:val="243"/>
        </w:trPr>
        <w:tc>
          <w:tcPr>
            <w:tcW w:w="6260" w:type="dxa"/>
            <w:vAlign w:val="bottom"/>
            <w:shd w:val="clear" w:color="auto" w:fill="E5E5E5"/>
          </w:tcPr>
          <w:p>
            <w:pPr>
              <w:ind w:left="40"/>
              <w:spacing w:after="0"/>
              <w:rPr>
                <w:sz w:val="20"/>
                <w:szCs w:val="20"/>
                <w:color w:val="auto"/>
              </w:rPr>
            </w:pPr>
            <w:r>
              <w:rPr>
                <w:rFonts w:ascii="Arial" w:cs="Arial" w:eastAsia="Arial" w:hAnsi="Arial"/>
                <w:sz w:val="15"/>
                <w:szCs w:val="15"/>
                <w:color w:val="auto"/>
              </w:rPr>
              <w:t>​Chair of the Compensation Committee</w:t>
            </w:r>
          </w:p>
        </w:tc>
        <w:tc>
          <w:tcPr>
            <w:tcW w:w="1520" w:type="dxa"/>
            <w:vAlign w:val="bottom"/>
            <w:shd w:val="clear" w:color="auto" w:fill="E5E5E5"/>
          </w:tcPr>
          <w:p>
            <w:pPr>
              <w:ind w:left="1080"/>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ind w:left="300"/>
              <w:spacing w:after="0"/>
              <w:rPr>
                <w:sz w:val="20"/>
                <w:szCs w:val="20"/>
                <w:color w:val="auto"/>
              </w:rPr>
            </w:pPr>
            <w:r>
              <w:rPr>
                <w:rFonts w:ascii="Arial" w:cs="Arial" w:eastAsia="Arial" w:hAnsi="Arial"/>
                <w:sz w:val="15"/>
                <w:szCs w:val="15"/>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25,000​​</w:t>
            </w:r>
          </w:p>
        </w:tc>
      </w:tr>
      <w:tr>
        <w:trPr>
          <w:trHeight w:val="243"/>
        </w:trPr>
        <w:tc>
          <w:tcPr>
            <w:tcW w:w="6260" w:type="dxa"/>
            <w:vAlign w:val="bottom"/>
          </w:tcPr>
          <w:p>
            <w:pPr>
              <w:ind w:left="40"/>
              <w:spacing w:after="0"/>
              <w:rPr>
                <w:sz w:val="20"/>
                <w:szCs w:val="20"/>
                <w:color w:val="auto"/>
              </w:rPr>
            </w:pPr>
            <w:r>
              <w:rPr>
                <w:rFonts w:ascii="Arial" w:cs="Arial" w:eastAsia="Arial" w:hAnsi="Arial"/>
                <w:sz w:val="15"/>
                <w:szCs w:val="15"/>
                <w:color w:val="auto"/>
              </w:rPr>
              <w:t>​Other members of the Compensation Committee</w:t>
            </w:r>
          </w:p>
        </w:tc>
        <w:tc>
          <w:tcPr>
            <w:tcW w:w="1520" w:type="dxa"/>
            <w:vAlign w:val="bottom"/>
          </w:tcPr>
          <w:p>
            <w:pPr>
              <w:ind w:left="1080"/>
              <w:spacing w:after="0"/>
              <w:rPr>
                <w:sz w:val="20"/>
                <w:szCs w:val="20"/>
                <w:color w:val="auto"/>
              </w:rPr>
            </w:pPr>
            <w:r>
              <w:rPr>
                <w:rFonts w:ascii="Arial" w:cs="Arial" w:eastAsia="Arial" w:hAnsi="Arial"/>
                <w:sz w:val="15"/>
                <w:szCs w:val="15"/>
                <w:color w:val="auto"/>
              </w:rPr>
              <w:t>​ ​</w:t>
            </w:r>
          </w:p>
        </w:tc>
        <w:tc>
          <w:tcPr>
            <w:tcW w:w="580" w:type="dxa"/>
            <w:vAlign w:val="bottom"/>
          </w:tcPr>
          <w:p>
            <w:pPr>
              <w:ind w:left="3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10,500​​</w:t>
            </w:r>
          </w:p>
        </w:tc>
      </w:tr>
      <w:tr>
        <w:trPr>
          <w:trHeight w:val="243"/>
        </w:trPr>
        <w:tc>
          <w:tcPr>
            <w:tcW w:w="6260" w:type="dxa"/>
            <w:vAlign w:val="bottom"/>
            <w:shd w:val="clear" w:color="auto" w:fill="E5E5E5"/>
          </w:tcPr>
          <w:p>
            <w:pPr>
              <w:ind w:left="40"/>
              <w:spacing w:after="0"/>
              <w:rPr>
                <w:sz w:val="20"/>
                <w:szCs w:val="20"/>
                <w:color w:val="auto"/>
              </w:rPr>
            </w:pPr>
            <w:r>
              <w:rPr>
                <w:rFonts w:ascii="Arial" w:cs="Arial" w:eastAsia="Arial" w:hAnsi="Arial"/>
                <w:sz w:val="15"/>
                <w:szCs w:val="15"/>
                <w:color w:val="auto"/>
              </w:rPr>
              <w:t>​Chair of the Nominating and Corporate Governance Committee</w:t>
            </w:r>
          </w:p>
        </w:tc>
        <w:tc>
          <w:tcPr>
            <w:tcW w:w="1520" w:type="dxa"/>
            <w:vAlign w:val="bottom"/>
            <w:shd w:val="clear" w:color="auto" w:fill="E5E5E5"/>
          </w:tcPr>
          <w:p>
            <w:pPr>
              <w:ind w:left="1080"/>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ind w:left="300"/>
              <w:spacing w:after="0"/>
              <w:rPr>
                <w:sz w:val="20"/>
                <w:szCs w:val="20"/>
                <w:color w:val="auto"/>
              </w:rPr>
            </w:pPr>
            <w:r>
              <w:rPr>
                <w:rFonts w:ascii="Arial" w:cs="Arial" w:eastAsia="Arial" w:hAnsi="Arial"/>
                <w:sz w:val="15"/>
                <w:szCs w:val="15"/>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20,000​​</w:t>
            </w:r>
          </w:p>
        </w:tc>
      </w:tr>
      <w:tr>
        <w:trPr>
          <w:trHeight w:val="243"/>
        </w:trPr>
        <w:tc>
          <w:tcPr>
            <w:tcW w:w="6260" w:type="dxa"/>
            <w:vAlign w:val="bottom"/>
          </w:tcPr>
          <w:p>
            <w:pPr>
              <w:ind w:left="40"/>
              <w:spacing w:after="0"/>
              <w:rPr>
                <w:sz w:val="20"/>
                <w:szCs w:val="20"/>
                <w:color w:val="auto"/>
              </w:rPr>
            </w:pPr>
            <w:r>
              <w:rPr>
                <w:rFonts w:ascii="Arial" w:cs="Arial" w:eastAsia="Arial" w:hAnsi="Arial"/>
                <w:sz w:val="15"/>
                <w:szCs w:val="15"/>
                <w:color w:val="auto"/>
              </w:rPr>
              <w:t>​Other members of the Nominating and Corporate Governance Committee</w:t>
            </w:r>
          </w:p>
        </w:tc>
        <w:tc>
          <w:tcPr>
            <w:tcW w:w="1520" w:type="dxa"/>
            <w:vAlign w:val="bottom"/>
          </w:tcPr>
          <w:p>
            <w:pPr>
              <w:ind w:left="1080"/>
              <w:spacing w:after="0"/>
              <w:rPr>
                <w:sz w:val="20"/>
                <w:szCs w:val="20"/>
                <w:color w:val="auto"/>
              </w:rPr>
            </w:pPr>
            <w:r>
              <w:rPr>
                <w:rFonts w:ascii="Arial" w:cs="Arial" w:eastAsia="Arial" w:hAnsi="Arial"/>
                <w:sz w:val="15"/>
                <w:szCs w:val="15"/>
                <w:color w:val="auto"/>
              </w:rPr>
              <w:t>​ ​</w:t>
            </w:r>
          </w:p>
        </w:tc>
        <w:tc>
          <w:tcPr>
            <w:tcW w:w="580" w:type="dxa"/>
            <w:vAlign w:val="bottom"/>
          </w:tcPr>
          <w:p>
            <w:pPr>
              <w:ind w:left="3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10,000​​</w:t>
            </w:r>
          </w:p>
        </w:tc>
      </w:tr>
      <w:tr>
        <w:trPr>
          <w:trHeight w:val="243"/>
        </w:trPr>
        <w:tc>
          <w:tcPr>
            <w:tcW w:w="6260" w:type="dxa"/>
            <w:vAlign w:val="bottom"/>
            <w:shd w:val="clear" w:color="auto" w:fill="E5E5E5"/>
          </w:tcPr>
          <w:p>
            <w:pPr>
              <w:ind w:left="40"/>
              <w:spacing w:after="0"/>
              <w:rPr>
                <w:sz w:val="20"/>
                <w:szCs w:val="20"/>
                <w:color w:val="auto"/>
              </w:rPr>
            </w:pPr>
            <w:r>
              <w:rPr>
                <w:rFonts w:ascii="Arial" w:cs="Arial" w:eastAsia="Arial" w:hAnsi="Arial"/>
                <w:sz w:val="15"/>
                <w:szCs w:val="15"/>
                <w:color w:val="auto"/>
              </w:rPr>
              <w:t>​Chair of the Cybersecurity, Technology and Innovation Committee</w:t>
            </w:r>
          </w:p>
        </w:tc>
        <w:tc>
          <w:tcPr>
            <w:tcW w:w="1520" w:type="dxa"/>
            <w:vAlign w:val="bottom"/>
            <w:shd w:val="clear" w:color="auto" w:fill="E5E5E5"/>
          </w:tcPr>
          <w:p>
            <w:pPr>
              <w:ind w:left="1080"/>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ind w:left="300"/>
              <w:spacing w:after="0"/>
              <w:rPr>
                <w:sz w:val="20"/>
                <w:szCs w:val="20"/>
                <w:color w:val="auto"/>
              </w:rPr>
            </w:pPr>
            <w:r>
              <w:rPr>
                <w:rFonts w:ascii="Arial" w:cs="Arial" w:eastAsia="Arial" w:hAnsi="Arial"/>
                <w:sz w:val="15"/>
                <w:szCs w:val="15"/>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20,000​​</w:t>
            </w:r>
          </w:p>
        </w:tc>
      </w:tr>
      <w:tr>
        <w:trPr>
          <w:trHeight w:val="243"/>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​Other members of the Cybersecurity, Technology and Innovation Committee</w:t>
            </w:r>
          </w:p>
        </w:tc>
        <w:tc>
          <w:tcPr>
            <w:tcW w:w="152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 ​</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w:t>
            </w:r>
          </w:p>
        </w:tc>
      </w:tr>
    </w:tbl>
    <w:p>
      <w:pPr>
        <w:spacing w:after="0" w:line="10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Directors are reimbursed for their expenses in attending Board and committee meetings.</w:t>
      </w:r>
    </w:p>
    <w:p>
      <w:pPr>
        <w:spacing w:after="0" w:line="154" w:lineRule="exact"/>
        <w:rPr>
          <w:sz w:val="20"/>
          <w:szCs w:val="20"/>
          <w:color w:val="auto"/>
        </w:rPr>
      </w:pPr>
    </w:p>
    <w:p>
      <w:pPr>
        <w:jc w:val="both"/>
        <w:ind w:left="760" w:right="40"/>
        <w:spacing w:after="0" w:line="268" w:lineRule="auto"/>
        <w:rPr>
          <w:sz w:val="20"/>
          <w:szCs w:val="20"/>
          <w:color w:val="auto"/>
        </w:rPr>
      </w:pPr>
      <w:r>
        <w:rPr>
          <w:rFonts w:ascii="Arial" w:cs="Arial" w:eastAsia="Arial" w:hAnsi="Arial"/>
          <w:sz w:val="16"/>
          <w:szCs w:val="16"/>
          <w:color w:val="auto"/>
        </w:rPr>
        <w:t>Our Chief Executive Officer, as an employee of the Company, is not entitled to receive any compensation for his service as a director.</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DSU Deferral Awards</w:t>
      </w:r>
    </w:p>
    <w:p>
      <w:pPr>
        <w:spacing w:after="0" w:line="149" w:lineRule="exact"/>
        <w:rPr>
          <w:sz w:val="20"/>
          <w:szCs w:val="20"/>
          <w:color w:val="auto"/>
        </w:rPr>
      </w:pPr>
    </w:p>
    <w:p>
      <w:pPr>
        <w:jc w:val="both"/>
        <w:ind w:left="760" w:right="40"/>
        <w:spacing w:after="0" w:line="241" w:lineRule="auto"/>
        <w:rPr>
          <w:sz w:val="20"/>
          <w:szCs w:val="20"/>
          <w:color w:val="auto"/>
        </w:rPr>
      </w:pPr>
      <w:r>
        <w:rPr>
          <w:rFonts w:ascii="Arial" w:cs="Arial" w:eastAsia="Arial" w:hAnsi="Arial"/>
          <w:sz w:val="16"/>
          <w:szCs w:val="16"/>
          <w:color w:val="auto"/>
        </w:rPr>
        <w:t>Under the current compensation program, retainers may be paid in a combination of cash or DSUs at each non-employee director’s election. Deferred fees are matched 25% by the Company, and the total deferred fees and matching contributions are converted into an equivalent value of DSUs based on the closing price of Upbound common stock on the trading day immediately preceding the date on which the DSUs are granted. Currently, the Board’s practice is to pay cash retainers and issue DSUs in respect of any deferred cash retainers on a quarterly basis. In addition, non-employee directors may elect to defer quarterly cash dividends otherwise payable on DSUs into additional DSUs. Deferred cash dividends are matched 25% by the Company, and the total deferred cash dividends and matching contributions are converted into an equivalent value of DSUs.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Annual DSU Awards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non-employee directors receive an annual award of DSUs on the first business day of each year pursuant to the 2021 Plan.</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Annual DSU Awards are not eligible for the matching contribution.</w:t>
      </w:r>
    </w:p>
    <w:p>
      <w:pPr>
        <w:spacing w:after="0" w:line="124" w:lineRule="exact"/>
        <w:rPr>
          <w:sz w:val="20"/>
          <w:szCs w:val="20"/>
          <w:color w:val="auto"/>
        </w:rPr>
      </w:pPr>
    </w:p>
    <w:p>
      <w:pPr>
        <w:jc w:val="both"/>
        <w:ind w:left="760" w:right="40"/>
        <w:spacing w:after="0" w:line="286" w:lineRule="auto"/>
        <w:rPr>
          <w:sz w:val="20"/>
          <w:szCs w:val="20"/>
          <w:color w:val="auto"/>
        </w:rPr>
      </w:pPr>
      <w:r>
        <w:rPr>
          <w:rFonts w:ascii="Arial" w:cs="Arial" w:eastAsia="Arial" w:hAnsi="Arial"/>
          <w:sz w:val="16"/>
          <w:szCs w:val="16"/>
          <w:color w:val="auto"/>
        </w:rPr>
        <w:t>The annual DSU award to our non-employee directors for 2025 was valued at $145,000, which is unchanged from the annual DSU award in 2024.</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Description of DSUs</w:t>
      </w:r>
    </w:p>
    <w:p>
      <w:pPr>
        <w:spacing w:after="0" w:line="149" w:lineRule="exact"/>
        <w:rPr>
          <w:sz w:val="20"/>
          <w:szCs w:val="20"/>
          <w:color w:val="auto"/>
        </w:rPr>
      </w:pPr>
    </w:p>
    <w:p>
      <w:pPr>
        <w:jc w:val="both"/>
        <w:ind w:left="760" w:right="40"/>
        <w:spacing w:after="0" w:line="243" w:lineRule="auto"/>
        <w:rPr>
          <w:sz w:val="20"/>
          <w:szCs w:val="20"/>
          <w:color w:val="auto"/>
        </w:rPr>
      </w:pPr>
      <w:r>
        <w:rPr>
          <w:rFonts w:ascii="Arial" w:cs="Arial" w:eastAsia="Arial" w:hAnsi="Arial"/>
          <w:sz w:val="16"/>
          <w:szCs w:val="16"/>
          <w:color w:val="auto"/>
        </w:rPr>
        <w:t>Each DSU is fully vested and non-forfeitable at the time of award and represents the right to receive one share of common stock of the Company. Those shares of common stock are not issued to a director until that director ceases to be a member of the Board and, therefore, cannot be sold until such time. The DSUs do not have voting rights. The holder of a DSU is entitled to receive cash dividend equivalent payments with respect to the shares underlying such DSU if and when any cash dividend is declared by the Board with respect to our common stock.</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Stock Ownership Guideline</w:t>
      </w:r>
    </w:p>
    <w:p>
      <w:pPr>
        <w:spacing w:after="0" w:line="162" w:lineRule="exact"/>
        <w:rPr>
          <w:sz w:val="20"/>
          <w:szCs w:val="20"/>
          <w:color w:val="auto"/>
        </w:rPr>
      </w:pPr>
    </w:p>
    <w:p>
      <w:pPr>
        <w:jc w:val="both"/>
        <w:ind w:left="760" w:right="40"/>
        <w:spacing w:after="0" w:line="256" w:lineRule="auto"/>
        <w:rPr>
          <w:sz w:val="20"/>
          <w:szCs w:val="20"/>
          <w:color w:val="auto"/>
        </w:rPr>
      </w:pPr>
      <w:r>
        <w:rPr>
          <w:rFonts w:ascii="Arial" w:cs="Arial" w:eastAsia="Arial" w:hAnsi="Arial"/>
          <w:sz w:val="16"/>
          <w:szCs w:val="16"/>
          <w:color w:val="auto"/>
        </w:rPr>
        <w:t>Our Board has adopted a guideline providing that each non-employee member of the Board should hold at least $400,000 in our common stock within five years after the date of their original election or appointment to the Board, and to hold such equity interest for so long as such member continues as a director. Moreover, because non-employee members of the Board receive equity compensation in the form of DSUs, they are required to retain 100% of their equity compensation until they cease to be a member of the Board and are issued shares of common stock in respect of their DSUs.</w:t>
      </w:r>
    </w:p>
    <w:p>
      <w:pPr>
        <w:spacing w:after="0" w:line="112" w:lineRule="exact"/>
        <w:rPr>
          <w:sz w:val="20"/>
          <w:szCs w:val="20"/>
          <w:color w:val="auto"/>
        </w:rPr>
      </w:pPr>
    </w:p>
    <w:p>
      <w:pPr>
        <w:jc w:val="both"/>
        <w:ind w:left="760" w:right="40"/>
        <w:spacing w:after="0" w:line="286" w:lineRule="auto"/>
        <w:rPr>
          <w:sz w:val="20"/>
          <w:szCs w:val="20"/>
          <w:color w:val="auto"/>
        </w:rPr>
      </w:pPr>
      <w:r>
        <w:rPr>
          <w:rFonts w:ascii="Arial" w:cs="Arial" w:eastAsia="Arial" w:hAnsi="Arial"/>
          <w:sz w:val="16"/>
          <w:szCs w:val="16"/>
          <w:color w:val="auto"/>
        </w:rPr>
        <w:t>Non-employee members of the Board may satisfy the ownership requirements in the equity ownership guidelines with common stock owned directly or indirectly (including as a result of fully vested awards from previous grants), shares of our</w:t>
      </w:r>
    </w:p>
    <w:p>
      <w:pPr>
        <w:spacing w:after="0" w:line="200" w:lineRule="exact"/>
        <w:rPr>
          <w:sz w:val="20"/>
          <w:szCs w:val="20"/>
          <w:color w:val="auto"/>
        </w:rPr>
      </w:pPr>
    </w:p>
    <w:p>
      <w:pPr>
        <w:spacing w:after="0" w:line="20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CORPORATE GOVERNANCE</w:t>
      </w:r>
    </w:p>
    <w:p>
      <w:pPr>
        <w:spacing w:after="0" w:line="370"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color w:val="auto"/>
        </w:rPr>
        <w:t>common stock held through any Company benefit plan in which non-employee directors are eligible to participate, DSUs and unvested time-based restricted stock awards or restricted stock units.</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April 7, 2026, all non-employee members of the Board were in compliance with our stock ownership guideline.</w:t>
      </w:r>
    </w:p>
    <w:p>
      <w:pPr>
        <w:spacing w:after="0" w:line="2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Compensation for 2025</w:t>
      </w:r>
    </w:p>
    <w:p>
      <w:pPr>
        <w:spacing w:after="0" w:line="162" w:lineRule="exact"/>
        <w:rPr>
          <w:sz w:val="20"/>
          <w:szCs w:val="20"/>
          <w:color w:val="auto"/>
        </w:rPr>
      </w:pPr>
    </w:p>
    <w:p>
      <w:pPr>
        <w:ind w:left="760" w:right="40"/>
        <w:spacing w:after="0" w:line="286" w:lineRule="auto"/>
        <w:rPr>
          <w:sz w:val="20"/>
          <w:szCs w:val="20"/>
          <w:color w:val="auto"/>
        </w:rPr>
      </w:pPr>
      <w:r>
        <w:rPr>
          <w:rFonts w:ascii="Arial" w:cs="Arial" w:eastAsia="Arial" w:hAnsi="Arial"/>
          <w:sz w:val="16"/>
          <w:szCs w:val="16"/>
          <w:color w:val="auto"/>
        </w:rPr>
        <w:t>The following table sets forth certain information regarding the compensation of our current and former non-employee directors during 2025.</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b w:val="1"/>
                <w:bCs w:val="1"/>
                <w:color w:val="auto"/>
                <w:w w:val="99"/>
              </w:rPr>
              <w:t>Fees Earned or</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104"/>
              <w:spacing w:after="0"/>
              <w:rPr>
                <w:sz w:val="20"/>
                <w:szCs w:val="20"/>
                <w:color w:val="auto"/>
              </w:rPr>
            </w:pPr>
            <w:r>
              <w:rPr>
                <w:rFonts w:ascii="Arial" w:cs="Arial" w:eastAsia="Arial" w:hAnsi="Arial"/>
                <w:sz w:val="15"/>
                <w:szCs w:val="15"/>
                <w:b w:val="1"/>
                <w:bCs w:val="1"/>
                <w:color w:val="auto"/>
              </w:rPr>
              <w:t>Other</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120"/>
              <w:spacing w:after="0" w:line="167" w:lineRule="exact"/>
              <w:rPr>
                <w:sz w:val="20"/>
                <w:szCs w:val="20"/>
                <w:color w:val="auto"/>
              </w:rPr>
            </w:pPr>
            <w:r>
              <w:rPr>
                <w:rFonts w:ascii="Arial" w:cs="Arial" w:eastAsia="Arial" w:hAnsi="Arial"/>
                <w:sz w:val="15"/>
                <w:szCs w:val="15"/>
                <w:b w:val="1"/>
                <w:bCs w:val="1"/>
                <w:color w:val="auto"/>
              </w:rPr>
              <w:t>Name</w:t>
            </w:r>
          </w:p>
        </w:tc>
        <w:tc>
          <w:tcPr>
            <w:tcW w:w="1100" w:type="dxa"/>
            <w:vAlign w:val="bottom"/>
            <w:vMerge w:val="restart"/>
          </w:tcPr>
          <w:p>
            <w:pPr>
              <w:ind w:left="1020"/>
              <w:spacing w:after="0"/>
              <w:rPr>
                <w:sz w:val="20"/>
                <w:szCs w:val="20"/>
                <w:color w:val="auto"/>
              </w:rPr>
            </w:pPr>
            <w:r>
              <w:rPr>
                <w:rFonts w:ascii="Arial" w:cs="Arial" w:eastAsia="Arial" w:hAnsi="Arial"/>
                <w:sz w:val="15"/>
                <w:szCs w:val="15"/>
                <w:b w:val="1"/>
                <w:bCs w:val="1"/>
                <w:color w:val="auto"/>
              </w:rPr>
              <w:t>​</w:t>
            </w:r>
          </w:p>
        </w:tc>
        <w:tc>
          <w:tcPr>
            <w:tcW w:w="3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ind w:right="104"/>
              <w:spacing w:after="0" w:line="167" w:lineRule="exact"/>
              <w:rPr>
                <w:sz w:val="20"/>
                <w:szCs w:val="20"/>
                <w:color w:val="auto"/>
              </w:rPr>
            </w:pPr>
            <w:r>
              <w:rPr>
                <w:rFonts w:ascii="Arial" w:cs="Arial" w:eastAsia="Arial" w:hAnsi="Arial"/>
                <w:sz w:val="15"/>
                <w:szCs w:val="15"/>
                <w:b w:val="1"/>
                <w:bCs w:val="1"/>
                <w:color w:val="auto"/>
              </w:rPr>
              <w:t>Paid in Cash</w:t>
            </w:r>
            <w:r>
              <w:rPr>
                <w:rFonts w:ascii="Arial" w:cs="Arial" w:eastAsia="Arial" w:hAnsi="Arial"/>
                <w:sz w:val="19"/>
                <w:szCs w:val="19"/>
                <w:b w:val="1"/>
                <w:bCs w:val="1"/>
                <w:color w:val="auto"/>
                <w:vertAlign w:val="superscript"/>
              </w:rPr>
              <w:t>(1)</w:t>
            </w:r>
          </w:p>
        </w:tc>
        <w:tc>
          <w:tcPr>
            <w:tcW w:w="4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w:t>
            </w:r>
          </w:p>
        </w:tc>
        <w:tc>
          <w:tcPr>
            <w:tcW w:w="800" w:type="dxa"/>
            <w:vAlign w:val="bottom"/>
          </w:tcPr>
          <w:p>
            <w:pPr>
              <w:ind w:left="100"/>
              <w:spacing w:after="0" w:line="167" w:lineRule="exact"/>
              <w:rPr>
                <w:sz w:val="20"/>
                <w:szCs w:val="20"/>
                <w:color w:val="auto"/>
              </w:rPr>
            </w:pPr>
            <w:r>
              <w:rPr>
                <w:rFonts w:ascii="Arial" w:cs="Arial" w:eastAsia="Arial" w:hAnsi="Arial"/>
                <w:sz w:val="15"/>
                <w:szCs w:val="15"/>
                <w:b w:val="1"/>
                <w:bCs w:val="1"/>
                <w:color w:val="auto"/>
              </w:rPr>
              <w:t>DSUs</w:t>
            </w:r>
            <w:r>
              <w:rPr>
                <w:rFonts w:ascii="Arial" w:cs="Arial" w:eastAsia="Arial" w:hAnsi="Arial"/>
                <w:sz w:val="19"/>
                <w:szCs w:val="19"/>
                <w:b w:val="1"/>
                <w:bCs w:val="1"/>
                <w:color w:val="auto"/>
                <w:vertAlign w:val="superscript"/>
              </w:rPr>
              <w:t>(2)</w:t>
            </w:r>
          </w:p>
        </w:tc>
        <w:tc>
          <w:tcPr>
            <w:tcW w:w="2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1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w:t>
            </w:r>
          </w:p>
        </w:tc>
        <w:tc>
          <w:tcPr>
            <w:tcW w:w="1480" w:type="dxa"/>
            <w:vAlign w:val="bottom"/>
            <w:gridSpan w:val="2"/>
          </w:tcPr>
          <w:p>
            <w:pPr>
              <w:jc w:val="right"/>
              <w:ind w:right="104"/>
              <w:spacing w:after="0" w:line="167"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9"/>
                <w:szCs w:val="19"/>
                <w:b w:val="1"/>
                <w:bCs w:val="1"/>
                <w:color w:val="auto"/>
                <w:vertAlign w:val="superscript"/>
              </w:rPr>
              <w:t>(3)</w:t>
            </w:r>
          </w:p>
        </w:tc>
        <w:tc>
          <w:tcPr>
            <w:tcW w:w="4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w:t>
            </w:r>
          </w:p>
        </w:tc>
        <w:tc>
          <w:tcPr>
            <w:tcW w:w="740" w:type="dxa"/>
            <w:vAlign w:val="bottom"/>
          </w:tcPr>
          <w:p>
            <w:pPr>
              <w:ind w:left="260"/>
              <w:spacing w:after="0" w:line="167" w:lineRule="exact"/>
              <w:rPr>
                <w:sz w:val="20"/>
                <w:szCs w:val="20"/>
                <w:color w:val="auto"/>
              </w:rPr>
            </w:pPr>
            <w:r>
              <w:rPr>
                <w:rFonts w:ascii="Arial" w:cs="Arial" w:eastAsia="Arial" w:hAnsi="Arial"/>
                <w:sz w:val="15"/>
                <w:szCs w:val="15"/>
                <w:b w:val="1"/>
                <w:bCs w:val="1"/>
                <w:color w:val="auto"/>
              </w:rPr>
              <w:t>Total</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2240" w:type="dxa"/>
            <w:vAlign w:val="bottom"/>
            <w:tcBorders>
              <w:bottom w:val="single" w:sz="8" w:color="auto"/>
            </w:tcBorders>
          </w:tcPr>
          <w:p>
            <w:pPr>
              <w:ind w:left="120"/>
              <w:spacing w:after="0" w:line="68" w:lineRule="exact"/>
              <w:rPr>
                <w:sz w:val="20"/>
                <w:szCs w:val="20"/>
                <w:color w:val="auto"/>
              </w:rPr>
            </w:pPr>
            <w:r>
              <w:rPr>
                <w:rFonts w:ascii="Arial" w:cs="Arial" w:eastAsia="Arial" w:hAnsi="Arial"/>
                <w:sz w:val="7"/>
                <w:szCs w:val="7"/>
                <w:b w:val="1"/>
                <w:bCs w:val="1"/>
                <w:color w:val="auto"/>
              </w:rPr>
              <w:t>​</w:t>
            </w:r>
          </w:p>
        </w:tc>
        <w:tc>
          <w:tcPr>
            <w:tcW w:w="110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E5E5E5"/>
          </w:tcPr>
          <w:p>
            <w:pPr>
              <w:ind w:left="60"/>
              <w:spacing w:after="0"/>
              <w:rPr>
                <w:sz w:val="20"/>
                <w:szCs w:val="20"/>
                <w:color w:val="auto"/>
              </w:rPr>
            </w:pPr>
            <w:r>
              <w:rPr>
                <w:rFonts w:ascii="Arial" w:cs="Arial" w:eastAsia="Arial" w:hAnsi="Arial"/>
                <w:sz w:val="15"/>
                <w:szCs w:val="15"/>
                <w:color w:val="auto"/>
              </w:rPr>
              <w:t>​Jeffrey Brown</w:t>
            </w:r>
          </w:p>
        </w:tc>
        <w:tc>
          <w:tcPr>
            <w:tcW w:w="1100" w:type="dxa"/>
            <w:vAlign w:val="bottom"/>
            <w:shd w:val="clear" w:color="auto" w:fill="E5E5E5"/>
          </w:tcPr>
          <w:p>
            <w:pPr>
              <w:ind w:left="900"/>
              <w:spacing w:after="0"/>
              <w:rPr>
                <w:sz w:val="20"/>
                <w:szCs w:val="20"/>
                <w:color w:val="auto"/>
              </w:rPr>
            </w:pPr>
            <w:r>
              <w:rPr>
                <w:rFonts w:ascii="Arial" w:cs="Arial" w:eastAsia="Arial" w:hAnsi="Arial"/>
                <w:sz w:val="15"/>
                <w:szCs w:val="15"/>
                <w:color w:val="auto"/>
              </w:rPr>
              <w:t>​</w:t>
            </w:r>
          </w:p>
        </w:tc>
        <w:tc>
          <w:tcPr>
            <w:tcW w:w="3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 ​ $</w:t>
            </w:r>
          </w:p>
        </w:tc>
        <w:tc>
          <w:tcPr>
            <w:tcW w:w="1300" w:type="dxa"/>
            <w:vAlign w:val="bottom"/>
            <w:shd w:val="clear" w:color="auto" w:fill="E5E5E5"/>
          </w:tcPr>
          <w:p>
            <w:pPr>
              <w:jc w:val="right"/>
              <w:spacing w:after="0"/>
              <w:rPr>
                <w:sz w:val="20"/>
                <w:szCs w:val="20"/>
                <w:color w:val="auto"/>
              </w:rPr>
            </w:pPr>
            <w:r>
              <w:rPr>
                <w:rFonts w:ascii="Arial" w:cs="Arial" w:eastAsia="Arial" w:hAnsi="Arial"/>
                <w:sz w:val="15"/>
                <w:szCs w:val="15"/>
                <w:color w:val="auto"/>
              </w:rPr>
              <w:t>0​ ​</w:t>
            </w:r>
          </w:p>
        </w:tc>
        <w:tc>
          <w:tcPr>
            <w:tcW w:w="42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w:t>
            </w:r>
          </w:p>
        </w:tc>
        <w:tc>
          <w:tcPr>
            <w:tcW w:w="800" w:type="dxa"/>
            <w:vAlign w:val="bottom"/>
            <w:shd w:val="clear" w:color="auto" w:fill="E5E5E5"/>
          </w:tcPr>
          <w:p>
            <w:pPr>
              <w:ind w:left="60"/>
              <w:spacing w:after="0"/>
              <w:rPr>
                <w:sz w:val="20"/>
                <w:szCs w:val="20"/>
                <w:color w:val="auto"/>
              </w:rPr>
            </w:pPr>
            <w:r>
              <w:rPr>
                <w:rFonts w:ascii="Arial" w:cs="Arial" w:eastAsia="Arial" w:hAnsi="Arial"/>
                <w:sz w:val="15"/>
                <w:szCs w:val="15"/>
                <w:color w:val="auto"/>
              </w:rPr>
              <w:t>668,715​ ​</w:t>
            </w:r>
          </w:p>
        </w:tc>
        <w:tc>
          <w:tcPr>
            <w:tcW w:w="200" w:type="dxa"/>
            <w:vAlign w:val="bottom"/>
            <w:shd w:val="clear" w:color="auto" w:fill="E5E5E5"/>
          </w:tcPr>
          <w:p>
            <w:pPr>
              <w:ind w:lef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jc w:val="right"/>
              <w:ind w:right="284"/>
              <w:spacing w:after="0"/>
              <w:rPr>
                <w:sz w:val="20"/>
                <w:szCs w:val="20"/>
                <w:color w:val="auto"/>
              </w:rPr>
            </w:pPr>
            <w:r>
              <w:rPr>
                <w:rFonts w:ascii="Arial" w:cs="Arial" w:eastAsia="Arial" w:hAnsi="Arial"/>
                <w:sz w:val="15"/>
                <w:szCs w:val="15"/>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92,447​ ​</w:t>
            </w:r>
          </w:p>
        </w:tc>
        <w:tc>
          <w:tcPr>
            <w:tcW w:w="44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w:t>
            </w:r>
          </w:p>
        </w:tc>
        <w:tc>
          <w:tcPr>
            <w:tcW w:w="740" w:type="dxa"/>
            <w:vAlign w:val="bottom"/>
            <w:shd w:val="clear" w:color="auto" w:fill="E5E5E5"/>
          </w:tcPr>
          <w:p>
            <w:pPr>
              <w:ind w:left="80"/>
              <w:spacing w:after="0"/>
              <w:rPr>
                <w:sz w:val="20"/>
                <w:szCs w:val="20"/>
                <w:color w:val="auto"/>
              </w:rPr>
            </w:pPr>
            <w:r>
              <w:rPr>
                <w:rFonts w:ascii="Arial" w:cs="Arial" w:eastAsia="Arial" w:hAnsi="Arial"/>
                <w:sz w:val="15"/>
                <w:szCs w:val="15"/>
                <w:color w:val="auto"/>
              </w:rPr>
              <w:t>761,162​​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60"/>
              <w:spacing w:after="0"/>
              <w:rPr>
                <w:sz w:val="20"/>
                <w:szCs w:val="20"/>
                <w:color w:val="auto"/>
              </w:rPr>
            </w:pPr>
            <w:r>
              <w:rPr>
                <w:rFonts w:ascii="Arial" w:cs="Arial" w:eastAsia="Arial" w:hAnsi="Arial"/>
                <w:sz w:val="15"/>
                <w:szCs w:val="15"/>
                <w:color w:val="auto"/>
              </w:rPr>
              <w:t>​Charu Jain</w:t>
            </w:r>
          </w:p>
        </w:tc>
        <w:tc>
          <w:tcPr>
            <w:tcW w:w="1100" w:type="dxa"/>
            <w:vAlign w:val="bottom"/>
          </w:tcPr>
          <w:p>
            <w:pPr>
              <w:ind w:left="900"/>
              <w:spacing w:after="0"/>
              <w:rPr>
                <w:sz w:val="20"/>
                <w:szCs w:val="20"/>
                <w:color w:val="auto"/>
              </w:rPr>
            </w:pPr>
            <w:r>
              <w:rPr>
                <w:rFonts w:ascii="Arial" w:cs="Arial" w:eastAsia="Arial" w:hAnsi="Arial"/>
                <w:sz w:val="15"/>
                <w:szCs w:val="15"/>
                <w:color w:val="auto"/>
              </w:rPr>
              <w:t>​</w:t>
            </w:r>
          </w:p>
        </w:tc>
        <w:tc>
          <w:tcPr>
            <w:tcW w:w="340" w:type="dxa"/>
            <w:vAlign w:val="bottom"/>
          </w:tcPr>
          <w:p>
            <w:pPr>
              <w:jc w:val="center"/>
              <w:spacing w:after="0"/>
              <w:rPr>
                <w:sz w:val="20"/>
                <w:szCs w:val="20"/>
                <w:color w:val="auto"/>
              </w:rPr>
            </w:pPr>
            <w:r>
              <w:rPr>
                <w:rFonts w:ascii="Arial" w:cs="Arial" w:eastAsia="Arial" w:hAnsi="Arial"/>
                <w:sz w:val="15"/>
                <w:szCs w:val="15"/>
                <w:color w:val="auto"/>
              </w:rPr>
              <w:t>​ ​ $</w:t>
            </w:r>
          </w:p>
        </w:tc>
        <w:tc>
          <w:tcPr>
            <w:tcW w:w="1300" w:type="dxa"/>
            <w:vAlign w:val="bottom"/>
          </w:tcPr>
          <w:p>
            <w:pPr>
              <w:jc w:val="right"/>
              <w:spacing w:after="0"/>
              <w:rPr>
                <w:sz w:val="20"/>
                <w:szCs w:val="20"/>
                <w:color w:val="auto"/>
              </w:rPr>
            </w:pPr>
            <w:r>
              <w:rPr>
                <w:rFonts w:ascii="Arial" w:cs="Arial" w:eastAsia="Arial" w:hAnsi="Arial"/>
                <w:sz w:val="15"/>
                <w:szCs w:val="15"/>
                <w:color w:val="auto"/>
              </w:rPr>
              <w:t>0​ ​</w:t>
            </w:r>
          </w:p>
        </w:tc>
        <w:tc>
          <w:tcPr>
            <w:tcW w:w="420" w:type="dxa"/>
            <w:vAlign w:val="bottom"/>
          </w:tcPr>
          <w:p>
            <w:pPr>
              <w:ind w:left="140"/>
              <w:spacing w:after="0"/>
              <w:rPr>
                <w:sz w:val="20"/>
                <w:szCs w:val="20"/>
                <w:color w:val="auto"/>
              </w:rPr>
            </w:pPr>
            <w:r>
              <w:rPr>
                <w:rFonts w:ascii="Arial" w:cs="Arial" w:eastAsia="Arial" w:hAnsi="Arial"/>
                <w:sz w:val="15"/>
                <w:szCs w:val="15"/>
                <w:color w:val="auto"/>
              </w:rPr>
              <w:t>​ ​$</w:t>
            </w:r>
          </w:p>
        </w:tc>
        <w:tc>
          <w:tcPr>
            <w:tcW w:w="800" w:type="dxa"/>
            <w:vAlign w:val="bottom"/>
          </w:tcPr>
          <w:p>
            <w:pPr>
              <w:ind w:left="60"/>
              <w:spacing w:after="0"/>
              <w:rPr>
                <w:sz w:val="20"/>
                <w:szCs w:val="20"/>
                <w:color w:val="auto"/>
              </w:rPr>
            </w:pPr>
            <w:r>
              <w:rPr>
                <w:rFonts w:ascii="Arial" w:cs="Arial" w:eastAsia="Arial" w:hAnsi="Arial"/>
                <w:sz w:val="15"/>
                <w:szCs w:val="15"/>
                <w:color w:val="auto"/>
              </w:rPr>
              <w:t>286,892​ ​</w:t>
            </w:r>
          </w:p>
        </w:tc>
        <w:tc>
          <w:tcPr>
            <w:tcW w:w="200" w:type="dxa"/>
            <w:vAlign w:val="bottom"/>
          </w:tcPr>
          <w:p>
            <w:pPr>
              <w:ind w:left="140"/>
              <w:spacing w:after="0"/>
              <w:rPr>
                <w:sz w:val="20"/>
                <w:szCs w:val="20"/>
                <w:color w:val="auto"/>
              </w:rPr>
            </w:pPr>
            <w:r>
              <w:rPr>
                <w:rFonts w:ascii="Arial" w:cs="Arial" w:eastAsia="Arial" w:hAnsi="Arial"/>
                <w:sz w:val="15"/>
                <w:szCs w:val="15"/>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 ​</w:t>
            </w:r>
          </w:p>
        </w:tc>
        <w:tc>
          <w:tcPr>
            <w:tcW w:w="440" w:type="dxa"/>
            <w:vAlign w:val="bottom"/>
          </w:tcPr>
          <w:p>
            <w:pPr>
              <w:ind w:left="140"/>
              <w:spacing w:after="0"/>
              <w:rPr>
                <w:sz w:val="20"/>
                <w:szCs w:val="20"/>
                <w:color w:val="auto"/>
              </w:rPr>
            </w:pPr>
            <w:r>
              <w:rPr>
                <w:rFonts w:ascii="Arial" w:cs="Arial" w:eastAsia="Arial" w:hAnsi="Arial"/>
                <w:sz w:val="15"/>
                <w:szCs w:val="15"/>
                <w:color w:val="auto"/>
              </w:rPr>
              <w:t>​ ​$</w:t>
            </w:r>
          </w:p>
        </w:tc>
        <w:tc>
          <w:tcPr>
            <w:tcW w:w="740" w:type="dxa"/>
            <w:vAlign w:val="bottom"/>
          </w:tcPr>
          <w:p>
            <w:pPr>
              <w:ind w:left="80"/>
              <w:spacing w:after="0"/>
              <w:rPr>
                <w:sz w:val="20"/>
                <w:szCs w:val="20"/>
                <w:color w:val="auto"/>
              </w:rPr>
            </w:pPr>
            <w:r>
              <w:rPr>
                <w:rFonts w:ascii="Arial" w:cs="Arial" w:eastAsia="Arial" w:hAnsi="Arial"/>
                <w:sz w:val="15"/>
                <w:szCs w:val="15"/>
                <w:color w:val="auto"/>
              </w:rPr>
              <w:t>286,892​​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E5E5E5"/>
          </w:tcPr>
          <w:p>
            <w:pPr>
              <w:ind w:left="60"/>
              <w:spacing w:after="0"/>
              <w:rPr>
                <w:sz w:val="20"/>
                <w:szCs w:val="20"/>
                <w:color w:val="auto"/>
              </w:rPr>
            </w:pPr>
            <w:r>
              <w:rPr>
                <w:rFonts w:ascii="Arial" w:cs="Arial" w:eastAsia="Arial" w:hAnsi="Arial"/>
                <w:sz w:val="15"/>
                <w:szCs w:val="15"/>
                <w:color w:val="auto"/>
              </w:rPr>
              <w:t>​Molly Langenstein</w:t>
            </w:r>
          </w:p>
        </w:tc>
        <w:tc>
          <w:tcPr>
            <w:tcW w:w="1100" w:type="dxa"/>
            <w:vAlign w:val="bottom"/>
            <w:shd w:val="clear" w:color="auto" w:fill="E5E5E5"/>
          </w:tcPr>
          <w:p>
            <w:pPr>
              <w:ind w:left="900"/>
              <w:spacing w:after="0"/>
              <w:rPr>
                <w:sz w:val="20"/>
                <w:szCs w:val="20"/>
                <w:color w:val="auto"/>
              </w:rPr>
            </w:pPr>
            <w:r>
              <w:rPr>
                <w:rFonts w:ascii="Arial" w:cs="Arial" w:eastAsia="Arial" w:hAnsi="Arial"/>
                <w:sz w:val="15"/>
                <w:szCs w:val="15"/>
                <w:color w:val="auto"/>
              </w:rPr>
              <w:t>​</w:t>
            </w:r>
          </w:p>
        </w:tc>
        <w:tc>
          <w:tcPr>
            <w:tcW w:w="3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 ​ $</w:t>
            </w:r>
          </w:p>
        </w:tc>
        <w:tc>
          <w:tcPr>
            <w:tcW w:w="1300" w:type="dxa"/>
            <w:vAlign w:val="bottom"/>
            <w:shd w:val="clear" w:color="auto" w:fill="E5E5E5"/>
          </w:tcPr>
          <w:p>
            <w:pPr>
              <w:jc w:val="right"/>
              <w:spacing w:after="0"/>
              <w:rPr>
                <w:sz w:val="20"/>
                <w:szCs w:val="20"/>
                <w:color w:val="auto"/>
              </w:rPr>
            </w:pPr>
            <w:r>
              <w:rPr>
                <w:rFonts w:ascii="Arial" w:cs="Arial" w:eastAsia="Arial" w:hAnsi="Arial"/>
                <w:sz w:val="15"/>
                <w:szCs w:val="15"/>
                <w:color w:val="auto"/>
              </w:rPr>
              <w:t>0​ ​</w:t>
            </w:r>
          </w:p>
        </w:tc>
        <w:tc>
          <w:tcPr>
            <w:tcW w:w="42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w:t>
            </w:r>
          </w:p>
        </w:tc>
        <w:tc>
          <w:tcPr>
            <w:tcW w:w="800" w:type="dxa"/>
            <w:vAlign w:val="bottom"/>
            <w:shd w:val="clear" w:color="auto" w:fill="E5E5E5"/>
          </w:tcPr>
          <w:p>
            <w:pPr>
              <w:ind w:left="60"/>
              <w:spacing w:after="0"/>
              <w:rPr>
                <w:sz w:val="20"/>
                <w:szCs w:val="20"/>
                <w:color w:val="auto"/>
              </w:rPr>
            </w:pPr>
            <w:r>
              <w:rPr>
                <w:rFonts w:ascii="Arial" w:cs="Arial" w:eastAsia="Arial" w:hAnsi="Arial"/>
                <w:sz w:val="15"/>
                <w:szCs w:val="15"/>
                <w:color w:val="auto"/>
              </w:rPr>
              <w:t>312,615​ ​</w:t>
            </w:r>
          </w:p>
        </w:tc>
        <w:tc>
          <w:tcPr>
            <w:tcW w:w="200" w:type="dxa"/>
            <w:vAlign w:val="bottom"/>
            <w:shd w:val="clear" w:color="auto" w:fill="E5E5E5"/>
          </w:tcPr>
          <w:p>
            <w:pPr>
              <w:ind w:lef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jc w:val="right"/>
              <w:ind w:right="284"/>
              <w:spacing w:after="0"/>
              <w:rPr>
                <w:sz w:val="20"/>
                <w:szCs w:val="20"/>
                <w:color w:val="auto"/>
              </w:rPr>
            </w:pPr>
            <w:r>
              <w:rPr>
                <w:rFonts w:ascii="Arial" w:cs="Arial" w:eastAsia="Arial" w:hAnsi="Arial"/>
                <w:sz w:val="15"/>
                <w:szCs w:val="15"/>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0​ ​</w:t>
            </w:r>
          </w:p>
        </w:tc>
        <w:tc>
          <w:tcPr>
            <w:tcW w:w="44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w:t>
            </w:r>
          </w:p>
        </w:tc>
        <w:tc>
          <w:tcPr>
            <w:tcW w:w="740" w:type="dxa"/>
            <w:vAlign w:val="bottom"/>
            <w:shd w:val="clear" w:color="auto" w:fill="E5E5E5"/>
          </w:tcPr>
          <w:p>
            <w:pPr>
              <w:ind w:left="80"/>
              <w:spacing w:after="0"/>
              <w:rPr>
                <w:sz w:val="20"/>
                <w:szCs w:val="20"/>
                <w:color w:val="auto"/>
              </w:rPr>
            </w:pPr>
            <w:r>
              <w:rPr>
                <w:rFonts w:ascii="Arial" w:cs="Arial" w:eastAsia="Arial" w:hAnsi="Arial"/>
                <w:sz w:val="15"/>
                <w:szCs w:val="15"/>
                <w:color w:val="auto"/>
              </w:rPr>
              <w:t>312,615​​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60"/>
              <w:spacing w:after="0"/>
              <w:rPr>
                <w:sz w:val="20"/>
                <w:szCs w:val="20"/>
                <w:color w:val="auto"/>
              </w:rPr>
            </w:pPr>
            <w:r>
              <w:rPr>
                <w:rFonts w:ascii="Arial" w:cs="Arial" w:eastAsia="Arial" w:hAnsi="Arial"/>
                <w:sz w:val="15"/>
                <w:szCs w:val="15"/>
                <w:color w:val="auto"/>
              </w:rPr>
              <w:t>​Harold Lewis</w:t>
            </w:r>
          </w:p>
        </w:tc>
        <w:tc>
          <w:tcPr>
            <w:tcW w:w="1100" w:type="dxa"/>
            <w:vAlign w:val="bottom"/>
          </w:tcPr>
          <w:p>
            <w:pPr>
              <w:ind w:left="900"/>
              <w:spacing w:after="0"/>
              <w:rPr>
                <w:sz w:val="20"/>
                <w:szCs w:val="20"/>
                <w:color w:val="auto"/>
              </w:rPr>
            </w:pPr>
            <w:r>
              <w:rPr>
                <w:rFonts w:ascii="Arial" w:cs="Arial" w:eastAsia="Arial" w:hAnsi="Arial"/>
                <w:sz w:val="15"/>
                <w:szCs w:val="15"/>
                <w:color w:val="auto"/>
              </w:rPr>
              <w:t>​</w:t>
            </w:r>
          </w:p>
        </w:tc>
        <w:tc>
          <w:tcPr>
            <w:tcW w:w="340" w:type="dxa"/>
            <w:vAlign w:val="bottom"/>
          </w:tcPr>
          <w:p>
            <w:pPr>
              <w:jc w:val="center"/>
              <w:spacing w:after="0"/>
              <w:rPr>
                <w:sz w:val="20"/>
                <w:szCs w:val="20"/>
                <w:color w:val="auto"/>
              </w:rPr>
            </w:pPr>
            <w:r>
              <w:rPr>
                <w:rFonts w:ascii="Arial" w:cs="Arial" w:eastAsia="Arial" w:hAnsi="Arial"/>
                <w:sz w:val="15"/>
                <w:szCs w:val="15"/>
                <w:color w:val="auto"/>
              </w:rPr>
              <w:t>​ ​ $</w:t>
            </w:r>
          </w:p>
        </w:tc>
        <w:tc>
          <w:tcPr>
            <w:tcW w:w="1300" w:type="dxa"/>
            <w:vAlign w:val="bottom"/>
          </w:tcPr>
          <w:p>
            <w:pPr>
              <w:jc w:val="right"/>
              <w:spacing w:after="0"/>
              <w:rPr>
                <w:sz w:val="20"/>
                <w:szCs w:val="20"/>
                <w:color w:val="auto"/>
              </w:rPr>
            </w:pPr>
            <w:r>
              <w:rPr>
                <w:rFonts w:ascii="Arial" w:cs="Arial" w:eastAsia="Arial" w:hAnsi="Arial"/>
                <w:sz w:val="15"/>
                <w:szCs w:val="15"/>
                <w:color w:val="auto"/>
              </w:rPr>
              <w:t>110,500​ ​</w:t>
            </w:r>
          </w:p>
        </w:tc>
        <w:tc>
          <w:tcPr>
            <w:tcW w:w="420" w:type="dxa"/>
            <w:vAlign w:val="bottom"/>
          </w:tcPr>
          <w:p>
            <w:pPr>
              <w:ind w:left="140"/>
              <w:spacing w:after="0"/>
              <w:rPr>
                <w:sz w:val="20"/>
                <w:szCs w:val="20"/>
                <w:color w:val="auto"/>
              </w:rPr>
            </w:pPr>
            <w:r>
              <w:rPr>
                <w:rFonts w:ascii="Arial" w:cs="Arial" w:eastAsia="Arial" w:hAnsi="Arial"/>
                <w:sz w:val="15"/>
                <w:szCs w:val="15"/>
                <w:color w:val="auto"/>
              </w:rPr>
              <w:t>​ ​$</w:t>
            </w:r>
          </w:p>
        </w:tc>
        <w:tc>
          <w:tcPr>
            <w:tcW w:w="800" w:type="dxa"/>
            <w:vAlign w:val="bottom"/>
          </w:tcPr>
          <w:p>
            <w:pPr>
              <w:ind w:left="60"/>
              <w:spacing w:after="0"/>
              <w:rPr>
                <w:sz w:val="20"/>
                <w:szCs w:val="20"/>
                <w:color w:val="auto"/>
              </w:rPr>
            </w:pPr>
            <w:r>
              <w:rPr>
                <w:rFonts w:ascii="Arial" w:cs="Arial" w:eastAsia="Arial" w:hAnsi="Arial"/>
                <w:sz w:val="15"/>
                <w:szCs w:val="15"/>
                <w:color w:val="auto"/>
              </w:rPr>
              <w:t>145,000​ ​</w:t>
            </w:r>
          </w:p>
        </w:tc>
        <w:tc>
          <w:tcPr>
            <w:tcW w:w="200" w:type="dxa"/>
            <w:vAlign w:val="bottom"/>
          </w:tcPr>
          <w:p>
            <w:pPr>
              <w:ind w:left="140"/>
              <w:spacing w:after="0"/>
              <w:rPr>
                <w:sz w:val="20"/>
                <w:szCs w:val="20"/>
                <w:color w:val="auto"/>
              </w:rPr>
            </w:pPr>
            <w:r>
              <w:rPr>
                <w:rFonts w:ascii="Arial" w:cs="Arial" w:eastAsia="Arial" w:hAnsi="Arial"/>
                <w:sz w:val="15"/>
                <w:szCs w:val="15"/>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41,057​ ​</w:t>
            </w:r>
          </w:p>
        </w:tc>
        <w:tc>
          <w:tcPr>
            <w:tcW w:w="440" w:type="dxa"/>
            <w:vAlign w:val="bottom"/>
          </w:tcPr>
          <w:p>
            <w:pPr>
              <w:ind w:left="140"/>
              <w:spacing w:after="0"/>
              <w:rPr>
                <w:sz w:val="20"/>
                <w:szCs w:val="20"/>
                <w:color w:val="auto"/>
              </w:rPr>
            </w:pPr>
            <w:r>
              <w:rPr>
                <w:rFonts w:ascii="Arial" w:cs="Arial" w:eastAsia="Arial" w:hAnsi="Arial"/>
                <w:sz w:val="15"/>
                <w:szCs w:val="15"/>
                <w:color w:val="auto"/>
              </w:rPr>
              <w:t>​ ​$</w:t>
            </w:r>
          </w:p>
        </w:tc>
        <w:tc>
          <w:tcPr>
            <w:tcW w:w="740" w:type="dxa"/>
            <w:vAlign w:val="bottom"/>
          </w:tcPr>
          <w:p>
            <w:pPr>
              <w:ind w:left="80"/>
              <w:spacing w:after="0"/>
              <w:rPr>
                <w:sz w:val="20"/>
                <w:szCs w:val="20"/>
                <w:color w:val="auto"/>
              </w:rPr>
            </w:pPr>
            <w:r>
              <w:rPr>
                <w:rFonts w:ascii="Arial" w:cs="Arial" w:eastAsia="Arial" w:hAnsi="Arial"/>
                <w:sz w:val="15"/>
                <w:szCs w:val="15"/>
                <w:color w:val="auto"/>
              </w:rPr>
              <w:t>296,557​​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E5E5E5"/>
          </w:tcPr>
          <w:p>
            <w:pPr>
              <w:ind w:left="60"/>
              <w:spacing w:after="0"/>
              <w:rPr>
                <w:sz w:val="20"/>
                <w:szCs w:val="20"/>
                <w:color w:val="auto"/>
              </w:rPr>
            </w:pPr>
            <w:r>
              <w:rPr>
                <w:rFonts w:ascii="Arial" w:cs="Arial" w:eastAsia="Arial" w:hAnsi="Arial"/>
                <w:sz w:val="15"/>
                <w:szCs w:val="15"/>
                <w:color w:val="auto"/>
              </w:rPr>
              <w:t>​Glenn Marino</w:t>
            </w:r>
          </w:p>
        </w:tc>
        <w:tc>
          <w:tcPr>
            <w:tcW w:w="1100" w:type="dxa"/>
            <w:vAlign w:val="bottom"/>
            <w:shd w:val="clear" w:color="auto" w:fill="E5E5E5"/>
          </w:tcPr>
          <w:p>
            <w:pPr>
              <w:ind w:left="900"/>
              <w:spacing w:after="0"/>
              <w:rPr>
                <w:sz w:val="20"/>
                <w:szCs w:val="20"/>
                <w:color w:val="auto"/>
              </w:rPr>
            </w:pPr>
            <w:r>
              <w:rPr>
                <w:rFonts w:ascii="Arial" w:cs="Arial" w:eastAsia="Arial" w:hAnsi="Arial"/>
                <w:sz w:val="15"/>
                <w:szCs w:val="15"/>
                <w:color w:val="auto"/>
              </w:rPr>
              <w:t>​</w:t>
            </w:r>
          </w:p>
        </w:tc>
        <w:tc>
          <w:tcPr>
            <w:tcW w:w="34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 ​ $</w:t>
            </w:r>
          </w:p>
        </w:tc>
        <w:tc>
          <w:tcPr>
            <w:tcW w:w="1300" w:type="dxa"/>
            <w:vAlign w:val="bottom"/>
            <w:shd w:val="clear" w:color="auto" w:fill="E5E5E5"/>
          </w:tcPr>
          <w:p>
            <w:pPr>
              <w:jc w:val="right"/>
              <w:spacing w:after="0"/>
              <w:rPr>
                <w:sz w:val="20"/>
                <w:szCs w:val="20"/>
                <w:color w:val="auto"/>
              </w:rPr>
            </w:pPr>
            <w:r>
              <w:rPr>
                <w:rFonts w:ascii="Arial" w:cs="Arial" w:eastAsia="Arial" w:hAnsi="Arial"/>
                <w:sz w:val="15"/>
                <w:szCs w:val="15"/>
                <w:color w:val="auto"/>
              </w:rPr>
              <w:t>22,819​ ​</w:t>
            </w:r>
          </w:p>
        </w:tc>
        <w:tc>
          <w:tcPr>
            <w:tcW w:w="42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w:t>
            </w:r>
          </w:p>
        </w:tc>
        <w:tc>
          <w:tcPr>
            <w:tcW w:w="800" w:type="dxa"/>
            <w:vAlign w:val="bottom"/>
            <w:shd w:val="clear" w:color="auto" w:fill="E5E5E5"/>
          </w:tcPr>
          <w:p>
            <w:pPr>
              <w:ind w:left="60"/>
              <w:spacing w:after="0"/>
              <w:rPr>
                <w:sz w:val="20"/>
                <w:szCs w:val="20"/>
                <w:color w:val="auto"/>
              </w:rPr>
            </w:pPr>
            <w:r>
              <w:rPr>
                <w:rFonts w:ascii="Arial" w:cs="Arial" w:eastAsia="Arial" w:hAnsi="Arial"/>
                <w:sz w:val="15"/>
                <w:szCs w:val="15"/>
                <w:color w:val="auto"/>
              </w:rPr>
              <w:t>338,681​ ​</w:t>
            </w:r>
          </w:p>
        </w:tc>
        <w:tc>
          <w:tcPr>
            <w:tcW w:w="200" w:type="dxa"/>
            <w:vAlign w:val="bottom"/>
            <w:shd w:val="clear" w:color="auto" w:fill="E5E5E5"/>
          </w:tcPr>
          <w:p>
            <w:pPr>
              <w:ind w:lef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jc w:val="right"/>
              <w:ind w:right="284"/>
              <w:spacing w:after="0"/>
              <w:rPr>
                <w:sz w:val="20"/>
                <w:szCs w:val="20"/>
                <w:color w:val="auto"/>
              </w:rPr>
            </w:pPr>
            <w:r>
              <w:rPr>
                <w:rFonts w:ascii="Arial" w:cs="Arial" w:eastAsia="Arial" w:hAnsi="Arial"/>
                <w:sz w:val="15"/>
                <w:szCs w:val="15"/>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16,304​ ​</w:t>
            </w:r>
          </w:p>
        </w:tc>
        <w:tc>
          <w:tcPr>
            <w:tcW w:w="440" w:type="dxa"/>
            <w:vAlign w:val="bottom"/>
            <w:shd w:val="clear" w:color="auto" w:fill="E5E5E5"/>
          </w:tcPr>
          <w:p>
            <w:pPr>
              <w:ind w:left="140"/>
              <w:spacing w:after="0"/>
              <w:rPr>
                <w:sz w:val="20"/>
                <w:szCs w:val="20"/>
                <w:color w:val="auto"/>
              </w:rPr>
            </w:pPr>
            <w:r>
              <w:rPr>
                <w:rFonts w:ascii="Arial" w:cs="Arial" w:eastAsia="Arial" w:hAnsi="Arial"/>
                <w:sz w:val="15"/>
                <w:szCs w:val="15"/>
                <w:color w:val="auto"/>
              </w:rPr>
              <w:t>​ ​$</w:t>
            </w:r>
          </w:p>
        </w:tc>
        <w:tc>
          <w:tcPr>
            <w:tcW w:w="740" w:type="dxa"/>
            <w:vAlign w:val="bottom"/>
            <w:shd w:val="clear" w:color="auto" w:fill="E5E5E5"/>
          </w:tcPr>
          <w:p>
            <w:pPr>
              <w:ind w:left="80"/>
              <w:spacing w:after="0"/>
              <w:rPr>
                <w:sz w:val="20"/>
                <w:szCs w:val="20"/>
                <w:color w:val="auto"/>
              </w:rPr>
            </w:pPr>
            <w:r>
              <w:rPr>
                <w:rFonts w:ascii="Arial" w:cs="Arial" w:eastAsia="Arial" w:hAnsi="Arial"/>
                <w:sz w:val="15"/>
                <w:szCs w:val="15"/>
                <w:color w:val="auto"/>
              </w:rPr>
              <w:t>377,804​​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​Carol McFate</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120,000​ ​</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 ​$</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159,582​ ​</w:t>
            </w:r>
          </w:p>
        </w:tc>
        <w:tc>
          <w:tcPr>
            <w:tcW w:w="2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47,061​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 ​$</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326,643​​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120" w:right="40" w:hanging="358"/>
        <w:spacing w:after="0" w:line="270" w:lineRule="auto"/>
        <w:tabs>
          <w:tab w:leader="none" w:pos="11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annual retainers paid in cash to each non-employee director with respect to services rendered in 2025. For directors who elected to defer cash fees into DSUs, those deferred amounts are included in the DSUs column to the extent such DSUs were awarded in 2025.</w:t>
      </w:r>
    </w:p>
    <w:p>
      <w:pPr>
        <w:ind w:left="1120" w:right="60" w:hanging="358"/>
        <w:spacing w:after="0" w:line="292" w:lineRule="auto"/>
        <w:tabs>
          <w:tab w:leader="none" w:pos="11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grant date fair value calculated pursuant to Financial Accounting Standards Board’s (“FASB”) Accounting Standards Codification (“ASC”) Topic 718 of DSUs granted to each director in fiscal 2025, as follows:</w:t>
      </w:r>
    </w:p>
    <w:p>
      <w:pPr>
        <w:spacing w:after="0" w:line="1" w:lineRule="exact"/>
        <w:rPr>
          <w:rFonts w:ascii="Arial" w:cs="Arial" w:eastAsia="Arial" w:hAnsi="Arial"/>
          <w:sz w:val="14"/>
          <w:szCs w:val="14"/>
          <w:i w:val="1"/>
          <w:iCs w:val="1"/>
          <w:color w:val="auto"/>
        </w:rPr>
      </w:pPr>
    </w:p>
    <w:p>
      <w:pPr>
        <w:ind w:left="1300" w:hanging="178"/>
        <w:spacing w:after="0"/>
        <w:tabs>
          <w:tab w:leader="none" w:pos="1300" w:val="left"/>
        </w:tabs>
        <w:numPr>
          <w:ilvl w:val="1"/>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Each director was granted 4,970 DSUs in January 2025, representing the $145,000 annual grant for service in fiscal year 2025.</w:t>
      </w:r>
    </w:p>
    <w:p>
      <w:pPr>
        <w:spacing w:after="0" w:line="41" w:lineRule="exact"/>
        <w:rPr>
          <w:rFonts w:ascii="Arial" w:cs="Arial" w:eastAsia="Arial" w:hAnsi="Arial"/>
          <w:sz w:val="14"/>
          <w:szCs w:val="14"/>
          <w:i w:val="1"/>
          <w:iCs w:val="1"/>
          <w:color w:val="auto"/>
        </w:rPr>
      </w:pPr>
    </w:p>
    <w:p>
      <w:pPr>
        <w:jc w:val="both"/>
        <w:ind w:left="1300" w:right="40" w:hanging="178"/>
        <w:spacing w:after="0" w:line="273" w:lineRule="auto"/>
        <w:tabs>
          <w:tab w:leader="none" w:pos="1300" w:val="left"/>
        </w:tabs>
        <w:numPr>
          <w:ilvl w:val="1"/>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During fiscal year 2025, Messrs. Brown, Lewis and Marino and Mses. Jain, Langenstein, and McFate were granted 21,100, 0, 7,404, 5,699, 6,733 and 612 DSUs, respectively, in lieu of quarterly cash retainers and dividends payable in respect of the fourth quarter of 2024 through and including the third quarter of 2025. Such amounts (and the table above) exclude DSUs that were awarded to such persons in January 2026 in lieu of quarterly cash retainers payable in respect of the fourth quarter of 2025 and exclude DSUs that were awarded to such persons in January 2026 in lieu of dividend equivalents on their December 17, 2025 record date DSUs.</w:t>
      </w:r>
    </w:p>
    <w:p>
      <w:pPr>
        <w:ind w:left="1120" w:hanging="358"/>
        <w:spacing w:after="0"/>
        <w:tabs>
          <w:tab w:leader="none" w:pos="11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dividend equivalents paid in cash in respect of vested DSUs.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Nominees</w:t>
      </w:r>
    </w:p>
    <w:p>
      <w:pPr>
        <w:spacing w:after="0" w:line="149"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Under our bylaws, only persons who are nominated in accordance with the procedures set forth in our bylaws are eligible for election as, and to serve as, members of our Board. Under our bylaws, nominations of persons for election to our Board may be made at a meeting of our stockholders (1) by or at the direction of our Board or (2) by any stockholder, provided they comply with the provisions of Article I, Sections 3 and 4 of our bylaws. The Board has delegated the screening and recruitment process for Board members to the Nominating and Corporate Governance Committee. The Nominating and Corporate Governance Committee selects individuals it believes are qualified to be members of the Board and recommends those individuals to the Board for nomination for election or re-election as directors. In identifying prospective director candidates, the Nominating and Corporate Governance Committee may seek referrals from other members of the Board, management, stockholders and other sources. From time to time, pursuant to its committee charter, the Nominating and Corporate Governance Committee may also engage a consultant to conduct a search to identify qualified candidates. The Nominating and Corporate Governance Committee then undertakes the evaluation process described below for any candidates so identified.</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Qualifications</w:t>
      </w:r>
    </w:p>
    <w:p>
      <w:pPr>
        <w:spacing w:after="0" w:line="149"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The goal of the Nominating and Corporate Governance Committee is to nominate qualified individuals with the objective of having membership on the Board that combines diverse business and industry experience, skill sets and other leadership qualities, represents diverse viewpoints and enables the Company to achieve its strategic objectives. The Nominating and Corporate Governance Committee also believes that members of the Board should possess character, judgment, skills (such as an understanding of the retail, lease-to-own or consumer finance industries, business management, finance, accounting, marketing, operations, technology and strategic planning), diversity of viewpoints and background, and experience with businesses and other organizations of a comparable size and industry. The Nominating and Corporate Governance Committee also considers the interplay of the candidate’s experience with the experience of the other Board members, the fit of the individual’s skills and personality with those of other directors and potential directors in building a Board that is</w:t>
      </w: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20</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effective, collegial and responsive to the needs of the Company, and the extent to which the candidate would be a desirable addition to the Board and any committees of the Board. In addition, the Nominating and Corporate Governance Committee considers the composition of the current Board and the Board’s needs when evaluating the experience and qualifications of director candidates. The Nominating and Corporate Governance Committee evaluates whether certain individuals possess the foregoing qualities and recommends to the Board candidates for nomination to serve as our directors. This process is the same regardless of whether the nominee is recommended by one of our stockholders.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Backgrounds and Experience</w:t>
      </w:r>
    </w:p>
    <w:p>
      <w:pPr>
        <w:spacing w:after="0" w:line="149" w:lineRule="exact"/>
        <w:rPr>
          <w:sz w:val="20"/>
          <w:szCs w:val="20"/>
          <w:color w:val="auto"/>
        </w:rPr>
      </w:pPr>
    </w:p>
    <w:p>
      <w:pPr>
        <w:jc w:val="both"/>
        <w:ind w:left="760" w:right="40"/>
        <w:spacing w:after="0" w:line="261" w:lineRule="auto"/>
        <w:rPr>
          <w:sz w:val="20"/>
          <w:szCs w:val="20"/>
          <w:color w:val="auto"/>
        </w:rPr>
      </w:pPr>
      <w:r>
        <w:rPr>
          <w:rFonts w:ascii="Arial" w:cs="Arial" w:eastAsia="Arial" w:hAnsi="Arial"/>
          <w:sz w:val="16"/>
          <w:szCs w:val="16"/>
          <w:color w:val="auto"/>
        </w:rPr>
        <w:t>The Board recognizes the value of diversity of viewpoints, background and experience and its ability to bring to bear a wide range of experiences and perspectives that are relevant to the Company’s strategy and business. The Nominating and Corporate Governance Committee weighs the background,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character, integrity, ethics, judgment, skills, diversity of viewpoints, background and experience, his or her ability to satisfy any applicable legal requirements or listing standards and such other criteria as the Nominating and Corporate Governance Committee or Board deems relevant in evaluating the potential effectiveness of candidates as members of the Board in light of the particular needs of the Board at such time. When considering director candidates, the Nominating and Corporate Governance Committee seeks individuals with backgrounds and qualities that, when combined with those of our incumbent directors, provide a blend of skills and experience to further enhance the Board’s effectiveness.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Advance Resignation Policy</w:t>
      </w:r>
    </w:p>
    <w:p>
      <w:pPr>
        <w:spacing w:after="0" w:line="149" w:lineRule="exact"/>
        <w:rPr>
          <w:sz w:val="20"/>
          <w:szCs w:val="20"/>
          <w:color w:val="auto"/>
        </w:rPr>
      </w:pPr>
    </w:p>
    <w:p>
      <w:pPr>
        <w:jc w:val="both"/>
        <w:ind w:left="760" w:right="40"/>
        <w:spacing w:after="0" w:line="269" w:lineRule="auto"/>
        <w:rPr>
          <w:sz w:val="20"/>
          <w:szCs w:val="20"/>
          <w:color w:val="auto"/>
        </w:rPr>
      </w:pPr>
      <w:r>
        <w:rPr>
          <w:rFonts w:ascii="Arial" w:cs="Arial" w:eastAsia="Arial" w:hAnsi="Arial"/>
          <w:sz w:val="16"/>
          <w:szCs w:val="16"/>
          <w:color w:val="auto"/>
        </w:rPr>
        <w:t>As a condition to nomination by the Nominating and Corporate Governance Committee of an incumbent director, a nominee shall, upon request by the Board or the Company’s Corporate Secretary, submit an irrevocable offer of resignation to the Board, which resignation shall become effective in the event that (a) such nominee is proposed for re-election and is not re-elected at a meeting of the stockholders in which majority voting applies and (b) the resignation is accepted by the Board by the vote of a majority of the directors, not including any director who has not been re-elected.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Stockholder Nominations</w:t>
      </w:r>
    </w:p>
    <w:p>
      <w:pPr>
        <w:spacing w:after="0" w:line="149"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In addition to nominees by or at the direction of our Board, the Nominating and Corporate Governance Committee will consider candidates for nomination proposed by a stockholder in the same manner and based on the same criteria as other candidates considered by the Nominating and Corporate Governance Committee as described above under “Qualifications” and “Backgrounds and Experience.” The proposing stockholder must provide notice and information on the proposed nominee to the Nominating and Corporate Governance Committee through the Corporate Secretary in accordance with the provisions of Article I, Sections 3 and 4 of our bylaws relating to direct stockholder nominations.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Meetings and Executive Sessions</w:t>
      </w:r>
    </w:p>
    <w:p>
      <w:pPr>
        <w:spacing w:after="0" w:line="149" w:lineRule="exact"/>
        <w:rPr>
          <w:sz w:val="20"/>
          <w:szCs w:val="20"/>
          <w:color w:val="auto"/>
        </w:rPr>
      </w:pPr>
    </w:p>
    <w:p>
      <w:pPr>
        <w:jc w:val="both"/>
        <w:ind w:left="760" w:right="60"/>
        <w:spacing w:after="0" w:line="304" w:lineRule="auto"/>
        <w:rPr>
          <w:sz w:val="20"/>
          <w:szCs w:val="20"/>
          <w:color w:val="auto"/>
        </w:rPr>
      </w:pPr>
      <w:r>
        <w:rPr>
          <w:rFonts w:ascii="Arial" w:cs="Arial" w:eastAsia="Arial" w:hAnsi="Arial"/>
          <w:sz w:val="16"/>
          <w:szCs w:val="16"/>
          <w:color w:val="auto"/>
        </w:rPr>
        <w:t>During 2025, our Board met 10 times. All of our directors attended more than 75% of the aggregate of the total number of meetings of the Board and the total number of meetings of the Board committees on which they served.</w:t>
      </w:r>
    </w:p>
    <w:p>
      <w:pPr>
        <w:spacing w:after="0" w:line="74" w:lineRule="exact"/>
        <w:rPr>
          <w:sz w:val="20"/>
          <w:szCs w:val="20"/>
          <w:color w:val="auto"/>
        </w:rPr>
      </w:pPr>
    </w:p>
    <w:p>
      <w:pPr>
        <w:jc w:val="both"/>
        <w:ind w:left="760" w:right="60"/>
        <w:spacing w:after="0" w:line="304" w:lineRule="auto"/>
        <w:rPr>
          <w:sz w:val="20"/>
          <w:szCs w:val="20"/>
          <w:color w:val="auto"/>
        </w:rPr>
      </w:pPr>
      <w:r>
        <w:rPr>
          <w:rFonts w:ascii="Arial" w:cs="Arial" w:eastAsia="Arial" w:hAnsi="Arial"/>
          <w:sz w:val="16"/>
          <w:szCs w:val="16"/>
          <w:color w:val="auto"/>
        </w:rPr>
        <w:t>In addition to full Board executive sessions, our independent directors meet in executive session at each regularly scheduled quarterly in-person meeting of the Board. Executive sessions are chaired by our Chairman of the Board.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Annual Meeting of Stockholders</w:t>
      </w:r>
    </w:p>
    <w:p>
      <w:pPr>
        <w:spacing w:after="0" w:line="149"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Each member of the Board is expected to attend our 2026 Annual Meeting unless circumstances prevent attendance. All of our directors then serving as directors attended the 2025 Annual Meeting.</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Procedures for Reporting Accounting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86" w:lineRule="auto"/>
        <w:rPr>
          <w:sz w:val="20"/>
          <w:szCs w:val="20"/>
          <w:color w:val="auto"/>
        </w:rPr>
      </w:pPr>
      <w:r>
        <w:rPr>
          <w:rFonts w:ascii="Arial" w:cs="Arial" w:eastAsia="Arial" w:hAnsi="Arial"/>
          <w:sz w:val="16"/>
          <w:szCs w:val="16"/>
          <w:color w:val="auto"/>
        </w:rPr>
        <w:t>The Audit &amp; Risk Committee has established procedures for (1) the receipt, retention and treatment of complaints received by us regarding accounting, internal accounting controls or auditing matters, and (2) the submission by our employees, on</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CORPORATE GOVERNANCE</w:t>
      </w:r>
    </w:p>
    <w:p>
      <w:pPr>
        <w:spacing w:after="0" w:line="370" w:lineRule="exact"/>
        <w:rPr>
          <w:sz w:val="20"/>
          <w:szCs w:val="20"/>
          <w:color w:val="auto"/>
        </w:rPr>
      </w:pPr>
    </w:p>
    <w:p>
      <w:pPr>
        <w:jc w:val="both"/>
        <w:ind w:left="760" w:right="40"/>
        <w:spacing w:after="0" w:line="256" w:lineRule="auto"/>
        <w:rPr>
          <w:sz w:val="20"/>
          <w:szCs w:val="20"/>
          <w:color w:val="auto"/>
        </w:rPr>
      </w:pPr>
      <w:r>
        <w:rPr>
          <w:rFonts w:ascii="Arial" w:cs="Arial" w:eastAsia="Arial" w:hAnsi="Arial"/>
          <w:sz w:val="16"/>
          <w:szCs w:val="16"/>
          <w:color w:val="auto"/>
        </w:rPr>
        <w:t xml:space="preserve">a confidential and anonymous basis, of concerns regarding questionable accounting or auditing matters. These procedures are posted on our website at </w:t>
      </w:r>
      <w:r>
        <w:rPr>
          <w:rFonts w:ascii="Arial" w:cs="Arial" w:eastAsia="Arial" w:hAnsi="Arial"/>
          <w:sz w:val="16"/>
          <w:szCs w:val="16"/>
          <w:i w:val="1"/>
          <w:iCs w:val="1"/>
          <w:color w:val="auto"/>
        </w:rPr>
        <w:t>https://investor.upbound.com/corporate-governance/governance-documents</w:t>
      </w:r>
      <w:r>
        <w:rPr>
          <w:rFonts w:ascii="Arial" w:cs="Arial" w:eastAsia="Arial" w:hAnsi="Arial"/>
          <w:sz w:val="16"/>
          <w:szCs w:val="16"/>
          <w:color w:val="auto"/>
        </w:rPr>
        <w:t>. References in this proxy statement to our website address are provided only as a convenience and do not constitute, and should not be viewed as, an incorporation by reference of the information contained on, or available through, the website. Therefore, such information should not be considered part of this proxy statement.</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21590</wp:posOffset>
            </wp:positionV>
            <wp:extent cx="58375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29" w:lineRule="exact"/>
        <w:rPr>
          <w:sz w:val="20"/>
          <w:szCs w:val="20"/>
          <w:color w:val="auto"/>
        </w:rPr>
      </w:pPr>
    </w:p>
    <w:p>
      <w:pPr>
        <w:jc w:val="both"/>
        <w:ind w:left="760" w:right="40"/>
        <w:spacing w:after="0" w:line="254" w:lineRule="auto"/>
        <w:rPr>
          <w:sz w:val="20"/>
          <w:szCs w:val="20"/>
          <w:color w:val="auto"/>
        </w:rPr>
      </w:pPr>
      <w:r>
        <w:rPr>
          <w:rFonts w:ascii="Arial" w:cs="Arial" w:eastAsia="Arial" w:hAnsi="Arial"/>
          <w:sz w:val="16"/>
          <w:szCs w:val="16"/>
          <w:color w:val="auto"/>
        </w:rPr>
        <w:t>Our Board has established a process by which stockholders and other interested parties may communicate with our Board, Board committees or individual directors. Stockholders or other interested parties may contact our Corporate Secretary by any one of the below methods. The Corporate Secretary will forward such communications to the Board, committees or individual directors, as applicable. However, the Corporate Secretary is not required to forward communications if it is determined the communication is (1) unrelated to the duties and responsibilities of the Board, (2) unduly hostile, threatening or illegal, or (3) obscene or otherwise deemed inappropriate.</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Pr>
          <w:p>
            <w:pPr>
              <w:spacing w:after="0"/>
              <w:rPr>
                <w:sz w:val="18"/>
                <w:szCs w:val="18"/>
                <w:color w:val="auto"/>
              </w:rPr>
            </w:pPr>
          </w:p>
        </w:tc>
        <w:tc>
          <w:tcPr>
            <w:tcW w:w="1020" w:type="dxa"/>
            <w:vAlign w:val="bottom"/>
          </w:tcPr>
          <w:p>
            <w:pPr>
              <w:ind w:left="520"/>
              <w:spacing w:after="0"/>
              <w:rPr>
                <w:sz w:val="20"/>
                <w:szCs w:val="20"/>
                <w:color w:val="auto"/>
              </w:rPr>
            </w:pPr>
            <w:r>
              <w:rPr>
                <w:rFonts w:ascii="Arial" w:cs="Arial" w:eastAsia="Arial" w:hAnsi="Arial"/>
                <w:sz w:val="16"/>
                <w:szCs w:val="16"/>
                <w:color w:val="auto"/>
              </w:rPr>
              <w:t>​ ​</w:t>
            </w:r>
          </w:p>
        </w:tc>
        <w:tc>
          <w:tcPr>
            <w:tcW w:w="224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6"/>
                <w:szCs w:val="16"/>
                <w:color w:val="auto"/>
              </w:rPr>
              <w:t>​ ​</w:t>
            </w:r>
          </w:p>
        </w:tc>
        <w:tc>
          <w:tcPr>
            <w:tcW w:w="2600" w:type="dxa"/>
            <w:vAlign w:val="bottom"/>
          </w:tcPr>
          <w:p>
            <w:pPr>
              <w:spacing w:after="0"/>
              <w:rPr>
                <w:sz w:val="18"/>
                <w:szCs w:val="18"/>
                <w:color w:val="auto"/>
              </w:rPr>
            </w:pPr>
          </w:p>
        </w:tc>
        <w:tc>
          <w:tcPr>
            <w:tcW w:w="22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96"/>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vMerge w:val="restart"/>
          </w:tcPr>
          <w:p>
            <w:pPr>
              <w:ind w:left="460"/>
              <w:spacing w:after="0"/>
              <w:rPr>
                <w:sz w:val="20"/>
                <w:szCs w:val="20"/>
                <w:color w:val="auto"/>
              </w:rPr>
            </w:pPr>
            <w:r>
              <w:rPr>
                <w:rFonts w:ascii="Arial" w:cs="Arial" w:eastAsia="Arial" w:hAnsi="Arial"/>
                <w:sz w:val="16"/>
                <w:szCs w:val="16"/>
                <w:color w:val="auto"/>
              </w:rPr>
              <w:t>By telephone:</w:t>
            </w:r>
          </w:p>
        </w:tc>
        <w:tc>
          <w:tcPr>
            <w:tcW w:w="1020" w:type="dxa"/>
            <w:vAlign w:val="bottom"/>
          </w:tcPr>
          <w:p>
            <w:pPr>
              <w:ind w:left="520"/>
              <w:spacing w:after="0"/>
              <w:rPr>
                <w:sz w:val="20"/>
                <w:szCs w:val="20"/>
                <w:color w:val="auto"/>
              </w:rPr>
            </w:pPr>
            <w:r>
              <w:rPr>
                <w:rFonts w:ascii="Arial" w:cs="Arial" w:eastAsia="Arial" w:hAnsi="Arial"/>
                <w:sz w:val="16"/>
                <w:szCs w:val="16"/>
                <w:color w:val="auto"/>
              </w:rPr>
              <w:t>​ ​</w:t>
            </w:r>
          </w:p>
        </w:tc>
        <w:tc>
          <w:tcPr>
            <w:tcW w:w="2240" w:type="dxa"/>
            <w:vAlign w:val="bottom"/>
            <w:vMerge w:val="restart"/>
          </w:tcPr>
          <w:p>
            <w:pPr>
              <w:jc w:val="center"/>
              <w:spacing w:after="0"/>
              <w:rPr>
                <w:sz w:val="20"/>
                <w:szCs w:val="20"/>
                <w:color w:val="auto"/>
              </w:rPr>
            </w:pPr>
            <w:r>
              <w:rPr>
                <w:rFonts w:ascii="Arial" w:cs="Arial" w:eastAsia="Arial" w:hAnsi="Arial"/>
                <w:sz w:val="16"/>
                <w:szCs w:val="16"/>
                <w:color w:val="auto"/>
              </w:rPr>
              <w:t>By mail:</w:t>
            </w:r>
          </w:p>
        </w:tc>
        <w:tc>
          <w:tcPr>
            <w:tcW w:w="700" w:type="dxa"/>
            <w:vAlign w:val="bottom"/>
          </w:tcPr>
          <w:p>
            <w:pPr>
              <w:ind w:left="380"/>
              <w:spacing w:after="0"/>
              <w:rPr>
                <w:sz w:val="20"/>
                <w:szCs w:val="20"/>
                <w:color w:val="auto"/>
              </w:rPr>
            </w:pPr>
            <w:r>
              <w:rPr>
                <w:rFonts w:ascii="Arial" w:cs="Arial" w:eastAsia="Arial" w:hAnsi="Arial"/>
                <w:sz w:val="16"/>
                <w:szCs w:val="16"/>
                <w:color w:val="auto"/>
              </w:rPr>
              <w:t>​ ​</w:t>
            </w:r>
          </w:p>
        </w:tc>
        <w:tc>
          <w:tcPr>
            <w:tcW w:w="2600" w:type="dxa"/>
            <w:vAlign w:val="bottom"/>
            <w:vMerge w:val="restart"/>
          </w:tcPr>
          <w:p>
            <w:pPr>
              <w:jc w:val="center"/>
              <w:spacing w:after="0"/>
              <w:rPr>
                <w:sz w:val="20"/>
                <w:szCs w:val="20"/>
                <w:color w:val="auto"/>
              </w:rPr>
            </w:pPr>
            <w:r>
              <w:rPr>
                <w:rFonts w:ascii="Arial" w:cs="Arial" w:eastAsia="Arial" w:hAnsi="Arial"/>
                <w:sz w:val="16"/>
                <w:szCs w:val="16"/>
                <w:color w:val="auto"/>
              </w:rPr>
              <w:t>By e-mail:</w:t>
            </w:r>
          </w:p>
        </w:tc>
        <w:tc>
          <w:tcPr>
            <w:tcW w:w="22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
        </w:trPr>
        <w:tc>
          <w:tcPr>
            <w:tcW w:w="500" w:type="dxa"/>
            <w:vAlign w:val="bottom"/>
          </w:tcPr>
          <w:p>
            <w:pPr>
              <w:spacing w:after="0"/>
              <w:rPr>
                <w:sz w:val="3"/>
                <w:szCs w:val="3"/>
                <w:color w:val="auto"/>
              </w:rPr>
            </w:pPr>
          </w:p>
        </w:tc>
        <w:tc>
          <w:tcPr>
            <w:tcW w:w="19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1960" w:type="dxa"/>
            <w:vAlign w:val="bottom"/>
          </w:tcPr>
          <w:p>
            <w:pPr>
              <w:ind w:left="460"/>
              <w:spacing w:after="0"/>
              <w:rPr>
                <w:sz w:val="20"/>
                <w:szCs w:val="20"/>
                <w:color w:val="auto"/>
              </w:rPr>
            </w:pPr>
            <w:r>
              <w:rPr>
                <w:rFonts w:ascii="Arial" w:cs="Arial" w:eastAsia="Arial" w:hAnsi="Arial"/>
                <w:sz w:val="16"/>
                <w:szCs w:val="16"/>
                <w:color w:val="auto"/>
              </w:rPr>
              <w:t>972-624-6210</w:t>
            </w:r>
          </w:p>
        </w:tc>
        <w:tc>
          <w:tcPr>
            <w:tcW w:w="10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Upbound Group, Inc.</w:t>
            </w:r>
          </w:p>
        </w:tc>
        <w:tc>
          <w:tcPr>
            <w:tcW w:w="7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6"/>
                <w:szCs w:val="16"/>
                <w:color w:val="auto"/>
              </w:rPr>
              <w:t>Upbound.Board@upbound.com</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-761365</wp:posOffset>
            </wp:positionV>
            <wp:extent cx="205740" cy="3771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37719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-761365</wp:posOffset>
            </wp:positionV>
            <wp:extent cx="334010" cy="334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-761365</wp:posOffset>
            </wp:positionV>
            <wp:extent cx="419735" cy="403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9735" cy="403225"/>
                    </a:xfrm>
                    <a:prstGeom prst="rect">
                      <a:avLst/>
                    </a:prstGeom>
                    <a:noFill/>
                  </pic:spPr>
                </pic:pic>
              </a:graphicData>
            </a:graphic>
          </wp:anchor>
        </w:drawing>
      </w:r>
    </w:p>
    <w:p>
      <w:pPr>
        <w:jc w:val="center"/>
        <w:ind w:right="-699"/>
        <w:spacing w:after="0"/>
        <w:rPr>
          <w:sz w:val="20"/>
          <w:szCs w:val="20"/>
          <w:color w:val="auto"/>
        </w:rPr>
      </w:pPr>
      <w:r>
        <w:rPr>
          <w:rFonts w:ascii="Arial" w:cs="Arial" w:eastAsia="Arial" w:hAnsi="Arial"/>
          <w:sz w:val="16"/>
          <w:szCs w:val="16"/>
          <w:color w:val="auto"/>
        </w:rPr>
        <w:t>Attn: Corporate Secretary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5501 Headquarters Drive</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Plano, TX 75024</w:t>
      </w:r>
    </w:p>
    <w:p>
      <w:pPr>
        <w:spacing w:after="0" w:line="200" w:lineRule="exact"/>
        <w:rPr>
          <w:sz w:val="20"/>
          <w:szCs w:val="20"/>
          <w:color w:val="auto"/>
        </w:rPr>
      </w:pPr>
    </w:p>
    <w:p>
      <w:pPr>
        <w:spacing w:after="0" w:line="215"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21590</wp:posOffset>
            </wp:positionV>
            <wp:extent cx="58375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Policy on Review and Approval of Transactions with Related Persons</w:t>
      </w:r>
    </w:p>
    <w:p>
      <w:pPr>
        <w:spacing w:after="0" w:line="162" w:lineRule="exact"/>
        <w:rPr>
          <w:sz w:val="20"/>
          <w:szCs w:val="20"/>
          <w:color w:val="auto"/>
        </w:rPr>
      </w:pPr>
    </w:p>
    <w:p>
      <w:pPr>
        <w:jc w:val="both"/>
        <w:ind w:left="760" w:right="40"/>
        <w:spacing w:after="0" w:line="248" w:lineRule="auto"/>
        <w:rPr>
          <w:sz w:val="20"/>
          <w:szCs w:val="20"/>
          <w:color w:val="auto"/>
        </w:rPr>
      </w:pPr>
      <w:r>
        <w:rPr>
          <w:rFonts w:ascii="Arial" w:cs="Arial" w:eastAsia="Arial" w:hAnsi="Arial"/>
          <w:sz w:val="16"/>
          <w:szCs w:val="16"/>
          <w:color w:val="auto"/>
        </w:rPr>
        <w:t>The Board has adopted a written statement of policy and procedures for the identification and review of transactions involving us and “related persons” (our​ directors and executive officers, stockholders owning 5% or greater of our outstanding stock, and immediate family members of any of the foregoing). Our directors and executive officers are required to provide notice to our general counsel of the facts and circumstances of any proposed transaction involving amounts greater than $120,000 involving them or their immediate family members that may be deemed to be a related person transaction. Our general counsel, in consultation with management and our outside counsel, as appropriate, will then assess whether the proposed related person transaction requires approval pursuant to the policy and procedures. If our general counsel determines that any proposed, ongoing or completed transaction involves an amount in excess of   $120,000 and is a related person transaction, the Nominating and Corporate Governance Committee must be notified for consideration at the next regularly scheduled meeting of the Nominating and Corporate Governance Committee. The Nominating and Corporate Governance Committee has reviewed and determined that each of the following related person transactions are to be deemed pre-approved by the Nominating and Corporate Governance Committee: (1) employment and separation agreements related to executive officers if  (a) the related compensation is reported in our proxy statement or (b) the executive officer is not an immediate family member of another “related person” and the Compensation Committee approved, or recommended to the Board for approval, such compensation,</w:t>
      </w:r>
    </w:p>
    <w:p>
      <w:pPr>
        <w:jc w:val="both"/>
        <w:ind w:left="760" w:right="40" w:firstLine="2"/>
        <w:spacing w:after="0" w:line="251" w:lineRule="auto"/>
        <w:tabs>
          <w:tab w:leader="none" w:pos="10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compensation paid to a director if the compensation is reported in our proxy statement, (3) transactions where all of our stockholders receive proportional benefits and (4) any transaction with a “related person” involving the rendering of services as a common or contract carrier, or public utility, at rates or charges fixed in conformity with law or governmental authority. The Nominating and Corporate Governance Committee will approve or ratify, as applicable, only those related person transactions that are in, or are not inconsistent with, our best interests and those of our stockholders in its business judgment.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Reportable Transactions with Related Persons</w:t>
      </w:r>
    </w:p>
    <w:p>
      <w:pPr>
        <w:spacing w:after="0" w:line="162" w:lineRule="exact"/>
        <w:rPr>
          <w:sz w:val="20"/>
          <w:szCs w:val="20"/>
          <w:color w:val="auto"/>
        </w:rPr>
      </w:pPr>
    </w:p>
    <w:p>
      <w:pPr>
        <w:jc w:val="both"/>
        <w:ind w:left="760" w:right="40"/>
        <w:spacing w:after="0" w:line="259" w:lineRule="auto"/>
        <w:rPr>
          <w:sz w:val="20"/>
          <w:szCs w:val="20"/>
          <w:color w:val="auto"/>
        </w:rPr>
      </w:pPr>
      <w:r>
        <w:rPr>
          <w:rFonts w:ascii="Arial" w:cs="Arial" w:eastAsia="Arial" w:hAnsi="Arial"/>
          <w:sz w:val="16"/>
          <w:szCs w:val="16"/>
          <w:color w:val="auto"/>
        </w:rPr>
        <w:t>The Company has not been a participant in any transaction since January 1, 2025 in which the amount involved exceeded or will exceed $120,000 and in which any of our directors, executive officers, nominees for director or holders of more than 5% of our capital stock, or any member of the immediate family of, or person sharing the household with, the foregoing persons, had or will have a direct or indirect material interest that is reportable pursuant to Item 404(a) of Regulation S-K.</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Investor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86" w:lineRule="auto"/>
        <w:rPr>
          <w:sz w:val="20"/>
          <w:szCs w:val="20"/>
          <w:color w:val="auto"/>
        </w:rPr>
      </w:pPr>
      <w:r>
        <w:rPr>
          <w:rFonts w:ascii="Arial" w:cs="Arial" w:eastAsia="Arial" w:hAnsi="Arial"/>
          <w:sz w:val="16"/>
          <w:szCs w:val="16"/>
          <w:color w:val="auto"/>
        </w:rPr>
        <w:t>We periodically engage in outreach to our top institutional investors to help ensure that our Board and management understand and consider the corporate governance, executive compensation and other issues that matter most to our</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stockholders. In 2025, senior members of management reached out to institutional investors holding approximately 72% of our outstanding common stock and participated in meetings with investors who accepted our request for a meeting. These periodic meetings cover both general and Upbound-specific topics, including the Company’s executive compensation, corporate governance practices, human capital management and corporate responsibility initiatives. Through this program, we have received helpful input, and we consider such input as we review potential adjustments to our executive compensation, corporate governance practices, human capital management and corporate responsibility initiatives. In 2025, as a result of the overall positive feedback received, no significant changes were made to our disclosures and programs.</w:t>
      </w:r>
    </w:p>
    <w:p>
      <w:pPr>
        <w:spacing w:after="0" w:line="109"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While we expect to maintain our investor outreach program, we do not expect that we will always be able to address all of our stockholders’ feedback. However, we seek to optimize our corporate governance by continually refining our relevant policies, procedures and practices to align the needs of the Company with evolving regulations and best practices, issues raised by our stockholders, and otherwise as circumstances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99"/>
        <w:spacing w:after="0"/>
        <w:rPr>
          <w:sz w:val="20"/>
          <w:szCs w:val="20"/>
          <w:color w:val="auto"/>
        </w:rPr>
      </w:pPr>
      <w:r>
        <w:rPr>
          <w:rFonts w:ascii="Arial" w:cs="Arial" w:eastAsia="Arial" w:hAnsi="Arial"/>
          <w:sz w:val="40"/>
          <w:szCs w:val="40"/>
          <w:b w:val="1"/>
          <w:bCs w:val="1"/>
          <w:color w:val="auto"/>
        </w:rPr>
        <w:t>PROPOSAL TWO:</w:t>
      </w:r>
    </w:p>
    <w:p>
      <w:pPr>
        <w:jc w:val="center"/>
        <w:ind w:right="-699"/>
        <w:spacing w:after="0" w:line="218" w:lineRule="auto"/>
        <w:rPr>
          <w:sz w:val="20"/>
          <w:szCs w:val="20"/>
          <w:color w:val="auto"/>
        </w:rPr>
      </w:pPr>
      <w:r>
        <w:rPr>
          <w:rFonts w:ascii="Arial" w:cs="Arial" w:eastAsia="Arial" w:hAnsi="Arial"/>
          <w:sz w:val="40"/>
          <w:szCs w:val="40"/>
          <w:b w:val="1"/>
          <w:bCs w:val="1"/>
          <w:color w:val="auto"/>
        </w:rPr>
        <w:t>RATIFICATION OF THE SELECTION OF</w:t>
      </w:r>
    </w:p>
    <w:p>
      <w:pPr>
        <w:jc w:val="center"/>
        <w:ind w:right="-699"/>
        <w:spacing w:after="0" w:line="225" w:lineRule="auto"/>
        <w:rPr>
          <w:sz w:val="20"/>
          <w:szCs w:val="20"/>
          <w:color w:val="auto"/>
        </w:rPr>
      </w:pPr>
      <w:r>
        <w:rPr>
          <w:rFonts w:ascii="Arial" w:cs="Arial" w:eastAsia="Arial" w:hAnsi="Arial"/>
          <w:sz w:val="40"/>
          <w:szCs w:val="40"/>
          <w:b w:val="1"/>
          <w:bCs w:val="1"/>
          <w:color w:val="auto"/>
        </w:rPr>
        <w:t>INDEPENDENT</w:t>
      </w:r>
    </w:p>
    <w:p>
      <w:pPr>
        <w:spacing w:after="0" w:line="1" w:lineRule="exact"/>
        <w:rPr>
          <w:sz w:val="20"/>
          <w:szCs w:val="20"/>
          <w:color w:val="auto"/>
        </w:rPr>
      </w:pPr>
    </w:p>
    <w:p>
      <w:pPr>
        <w:jc w:val="center"/>
        <w:ind w:right="-779"/>
        <w:spacing w:after="0"/>
        <w:rPr>
          <w:sz w:val="20"/>
          <w:szCs w:val="20"/>
          <w:color w:val="auto"/>
        </w:rPr>
      </w:pPr>
      <w:r>
        <w:rPr>
          <w:rFonts w:ascii="Arial" w:cs="Arial" w:eastAsia="Arial" w:hAnsi="Arial"/>
          <w:sz w:val="40"/>
          <w:szCs w:val="40"/>
          <w:b w:val="1"/>
          <w:bCs w:val="1"/>
          <w:color w:val="auto"/>
        </w:rPr>
        <w:t>REGISTERED PUBLIC ACCOUNTING FIRM</w:t>
      </w:r>
    </w:p>
    <w:p>
      <w:pPr>
        <w:spacing w:after="0" w:line="100"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color w:val="auto"/>
        </w:rPr>
        <w:t>The Audit &amp; Risk Committee has selected Deloitte &amp; Touche LLP (“Deloitte”) as our independent registered public accounting firm for the fiscal year ending December 31, 2026. Deloitte previously served as our independent registered public accounting firm in 2025. Ernst &amp; Young (“E&amp;Y”) previously served as our independent registered public accounting firm in 2019 through February 25, 2025.</w:t>
      </w:r>
    </w:p>
    <w:p>
      <w:pPr>
        <w:spacing w:after="0" w:line="97" w:lineRule="exact"/>
        <w:rPr>
          <w:sz w:val="20"/>
          <w:szCs w:val="20"/>
          <w:color w:val="auto"/>
        </w:rPr>
      </w:pPr>
    </w:p>
    <w:p>
      <w:pPr>
        <w:jc w:val="both"/>
        <w:ind w:left="760"/>
        <w:spacing w:after="0" w:line="253" w:lineRule="auto"/>
        <w:rPr>
          <w:sz w:val="20"/>
          <w:szCs w:val="20"/>
          <w:color w:val="auto"/>
        </w:rPr>
      </w:pPr>
      <w:r>
        <w:rPr>
          <w:rFonts w:ascii="Arial" w:cs="Arial" w:eastAsia="Arial" w:hAnsi="Arial"/>
          <w:sz w:val="16"/>
          <w:szCs w:val="16"/>
          <w:color w:val="auto"/>
        </w:rPr>
        <w:t>The Audit &amp; Risk Committee reviews and pre-approves both audit and all permissible non-audit services provided by our independent registered public accounting firm, as described in “Corporate Governance — Structure of the Board — Audit &amp; Risk Committee” in this proxy statement, and accordingly, all services and fees in 2025 provided by Deloitte were pre-approved by the Audit &amp; Risk Committee. The Audit &amp; Risk Committee has considered whether the provision of services, other than services rendered in connection with the audit of our annual financial statements, is compatible with maintaining Deloitte’s independence. The Audit &amp; Risk Committee has determined that the rendering of non-audit services by Deloitte during the year ended December 31, 2025, was compatible with maintaining such firm’s independence.</w:t>
      </w:r>
    </w:p>
    <w:p>
      <w:pPr>
        <w:spacing w:after="0" w:line="114" w:lineRule="exact"/>
        <w:rPr>
          <w:sz w:val="20"/>
          <w:szCs w:val="20"/>
          <w:color w:val="auto"/>
        </w:rPr>
      </w:pPr>
    </w:p>
    <w:p>
      <w:pPr>
        <w:jc w:val="both"/>
        <w:ind w:left="760"/>
        <w:spacing w:after="0" w:line="249" w:lineRule="auto"/>
        <w:rPr>
          <w:sz w:val="20"/>
          <w:szCs w:val="20"/>
          <w:color w:val="auto"/>
        </w:rPr>
      </w:pPr>
      <w:r>
        <w:rPr>
          <w:rFonts w:ascii="Arial" w:cs="Arial" w:eastAsia="Arial" w:hAnsi="Arial"/>
          <w:sz w:val="16"/>
          <w:szCs w:val="16"/>
          <w:color w:val="auto"/>
        </w:rPr>
        <w:t>Our Board has directed that we submit the selection of our independent registered public accounting firm for ratification by our stockholders at the 2026 Annual Meeting. Stockholder ratification of the selection of Deloitte as our independent registered public accounting firm is not required by our bylaws or otherwise. However, the Board is submitting the selection of Deloitte to the stockholders for ratification as a matter of good corporate practice. If the stockholders fail to ratify the selection, the Audit &amp; Risk Committee will reconsider whether or not to continue the retention of Deloitte. Even if the selection is ratified, the Audit &amp; Risk Committee in its discretion may direct the appointment of a different independent registered public accounting firm at any time during the year if it determines that such a change would be in our best interests and those of our stockholders. The Audit</w:t>
      </w:r>
    </w:p>
    <w:p>
      <w:pPr>
        <w:spacing w:after="0" w:line="3" w:lineRule="exact"/>
        <w:rPr>
          <w:sz w:val="20"/>
          <w:szCs w:val="20"/>
          <w:color w:val="auto"/>
        </w:rPr>
      </w:pPr>
    </w:p>
    <w:p>
      <w:pPr>
        <w:jc w:val="both"/>
        <w:ind w:left="760" w:right="20" w:firstLine="2"/>
        <w:spacing w:after="0" w:line="256" w:lineRule="auto"/>
        <w:tabs>
          <w:tab w:leader="none" w:pos="9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 Committee annually reviews the performance of our independent registered public accounting firm and the fees charged for their services. Based upon the Audit &amp; Risk Committee’s analysis of this information, the Audit &amp; Risk Committee will determine which registered independent public accounting firm to engage to perform our annual audit each year.</w:t>
      </w:r>
    </w:p>
    <w:p>
      <w:pPr>
        <w:spacing w:after="0" w:line="111"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Representatives of Deloitte will attend the 2026 Annual Meeting, will have an opportunity to make a statement if they so desire and will be available to respond to appropriate questions from stockholders.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Changes in the Company’s Independent Registered Public Accountant</w:t>
      </w:r>
    </w:p>
    <w:p>
      <w:pPr>
        <w:spacing w:after="0" w:line="149" w:lineRule="exact"/>
        <w:rPr>
          <w:sz w:val="20"/>
          <w:szCs w:val="20"/>
          <w:color w:val="auto"/>
        </w:rPr>
      </w:pPr>
    </w:p>
    <w:p>
      <w:pPr>
        <w:jc w:val="both"/>
        <w:ind w:left="760"/>
        <w:spacing w:after="0" w:line="256" w:lineRule="auto"/>
        <w:rPr>
          <w:sz w:val="20"/>
          <w:szCs w:val="20"/>
          <w:color w:val="auto"/>
        </w:rPr>
      </w:pPr>
      <w:r>
        <w:rPr>
          <w:rFonts w:ascii="Arial" w:cs="Arial" w:eastAsia="Arial" w:hAnsi="Arial"/>
          <w:sz w:val="16"/>
          <w:szCs w:val="16"/>
          <w:color w:val="auto"/>
        </w:rPr>
        <w:t>As previously disclosed, on February 24, 2025, the Audit and Risk Committee decided to (i) dismiss E&amp;Y as the Company’s independent registered public accounting firm and (ii) appoint Deloitte to serve as the Company’s new independent registered public accounting firm to audit the Company’s financial statements as of and for the fiscal year ending December 31, 2025. The Audit &amp; Risk Committee made its decision after soliciting proposals from several accounting firms and conducting a thorough formal review. The Company notified E&amp;Y of its decision on February 25, 2025.</w:t>
      </w:r>
    </w:p>
    <w:p>
      <w:pPr>
        <w:spacing w:after="0" w:line="112"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During the Company’s fiscal years ended December 31, 2023 and 2024, there were no (i) disagreements (as defined in Item 304(a)(1)(iv) of Regulation S-K) between the Company and E&amp;Y on any matter of accounting principle or practice, financial statement disclosure, or auditing scope or procedure which, if not resolved to E&amp;Y’s satisfaction, would have caused it to make reference to the matter in conjunction with its report on the Company’s consolidated financial statements for the relevant year, or (ii) reportable events as defined in Item 304(a)(1)(v) of Regulation S-K.</w:t>
      </w:r>
    </w:p>
    <w:p>
      <w:pPr>
        <w:spacing w:after="0" w:line="103"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E&amp;Y’s audit reports on the Company’s consolidated financial statements for the fiscal years ended December 31, 2023 and 2024 did not contain an adverse opinion or disclaimer of opinion, nor were they qualified or modified as to uncertainty, audit scope, or accounting principles. We provided E&amp;Y with a copy of our Current Report on Form 8-K reporting the change in independent registered public accounting firm before filing such Current Report on Form 8-K with the SEC on February 28, 2025, and requested that E&amp;Y furnish us with a letter addressed to the SEC stating whether or not E&amp;Y agreed with the above statements and stating the respects, if any, in which E&amp;Y did not agree with such statements. The letter from E&amp;Y was filed as Exhibit 16.1 to such Form 8-K.</w:t>
      </w:r>
    </w:p>
    <w:p>
      <w:pPr>
        <w:spacing w:after="0" w:line="109"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During the Company’s fiscal years ended December 31, 2023 and 2024, neither the Company, nor anyone on behalf of the Company, consulted with Deloitte with respect to either (i) the application of accounting principles to a specified transaction, either completed or proposed, or the type of audit opinion that might be rendered on the Company’s consolidated financial</w:t>
      </w:r>
    </w:p>
    <w:p>
      <w:pPr>
        <w:spacing w:after="0" w:line="200" w:lineRule="exact"/>
        <w:rPr>
          <w:sz w:val="20"/>
          <w:szCs w:val="20"/>
          <w:color w:val="auto"/>
        </w:rPr>
      </w:pPr>
    </w:p>
    <w:p>
      <w:pPr>
        <w:spacing w:after="0" w:line="218"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24</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ind w:left="1740"/>
        <w:spacing w:after="0" w:line="296" w:lineRule="auto"/>
        <w:rPr>
          <w:sz w:val="20"/>
          <w:szCs w:val="20"/>
          <w:color w:val="auto"/>
        </w:rPr>
      </w:pPr>
      <w:r>
        <w:rPr>
          <w:rFonts w:ascii="Arial" w:cs="Arial" w:eastAsia="Arial" w:hAnsi="Arial"/>
          <w:sz w:val="16"/>
          <w:szCs w:val="16"/>
          <w:b w:val="1"/>
          <w:bCs w:val="1"/>
          <w:color w:val="auto"/>
        </w:rPr>
        <w:t>PROPOSAL TWO: RATIFICATION OF THE SELECTION OF INDEPENDENT REGISTERED PUBLIC ACCOUNTING FIRM​ ​</w:t>
      </w:r>
    </w:p>
    <w:p>
      <w:pPr>
        <w:spacing w:after="0" w:line="100" w:lineRule="exact"/>
        <w:rPr>
          <w:sz w:val="20"/>
          <w:szCs w:val="20"/>
          <w:color w:val="auto"/>
        </w:rPr>
      </w:pPr>
    </w:p>
    <w:p>
      <w:pPr>
        <w:ind w:left="760" w:right="40"/>
        <w:spacing w:after="0" w:line="263" w:lineRule="auto"/>
        <w:rPr>
          <w:sz w:val="20"/>
          <w:szCs w:val="20"/>
          <w:color w:val="auto"/>
        </w:rPr>
      </w:pPr>
      <w:r>
        <w:rPr>
          <w:rFonts w:ascii="Arial" w:cs="Arial" w:eastAsia="Arial" w:hAnsi="Arial"/>
          <w:sz w:val="16"/>
          <w:szCs w:val="16"/>
          <w:color w:val="auto"/>
        </w:rPr>
        <w:t>statements, and no written report or oral advice was provided by Deloitte to the Company that Deloitte concluded was an important factor considered by the Company in reaching a decision as to the accounting, auditing, or financial reporting issue or</w:t>
      </w:r>
    </w:p>
    <w:p>
      <w:pPr>
        <w:ind w:left="760" w:right="40" w:firstLine="2"/>
        <w:spacing w:after="0" w:line="288" w:lineRule="auto"/>
        <w:tabs>
          <w:tab w:leader="none" w:pos="9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matter that was the subject of either a disagreement (as defined in Item 304(a)(1)(iv) of Regulation S-K) or a reportable event (as described in Item 304(a)(1)(v) of Regulation S-K).</w:t>
      </w:r>
    </w:p>
    <w:p>
      <w:pPr>
        <w:spacing w:after="0" w:line="86" w:lineRule="exact"/>
        <w:rPr>
          <w:sz w:val="20"/>
          <w:szCs w:val="20"/>
          <w:color w:val="auto"/>
        </w:rPr>
      </w:pPr>
    </w:p>
    <w:p>
      <w:pPr>
        <w:jc w:val="both"/>
        <w:ind w:left="760" w:right="60"/>
        <w:spacing w:after="0" w:line="314" w:lineRule="auto"/>
        <w:rPr>
          <w:sz w:val="20"/>
          <w:szCs w:val="20"/>
          <w:color w:val="auto"/>
        </w:rPr>
      </w:pPr>
      <w:r>
        <w:rPr>
          <w:rFonts w:ascii="Arial" w:cs="Arial" w:eastAsia="Arial" w:hAnsi="Arial"/>
          <w:sz w:val="16"/>
          <w:szCs w:val="16"/>
          <w:b w:val="1"/>
          <w:bCs w:val="1"/>
          <w:color w:val="auto"/>
        </w:rPr>
        <w:t>Our Board recommends that you vote “FOR” the proposal to ratify the selection of Deloitte as our independent registered public accounting firm.</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56" w:lineRule="exact"/>
        <w:rPr>
          <w:sz w:val="20"/>
          <w:szCs w:val="20"/>
          <w:color w:val="auto"/>
        </w:rPr>
      </w:pPr>
    </w:p>
    <w:p>
      <w:pPr>
        <w:jc w:val="both"/>
        <w:ind w:left="760" w:right="40"/>
        <w:spacing w:after="0" w:line="287" w:lineRule="auto"/>
        <w:rPr>
          <w:sz w:val="20"/>
          <w:szCs w:val="20"/>
          <w:color w:val="auto"/>
        </w:rPr>
      </w:pPr>
      <w:r>
        <w:rPr>
          <w:rFonts w:ascii="Arial" w:cs="Arial" w:eastAsia="Arial" w:hAnsi="Arial"/>
          <w:sz w:val="16"/>
          <w:szCs w:val="16"/>
          <w:color w:val="auto"/>
        </w:rPr>
        <w:t>The following table provides information about fees billed for services rendered by Deloitte for our fiscal year ended December 31, 2025 and E&amp;Y, our prior independent registered public accounting firm, for our fiscal year ended December 31, 2024.</w:t>
      </w: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1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2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62"/>
              <w:spacing w:after="0"/>
              <w:rPr>
                <w:sz w:val="20"/>
                <w:szCs w:val="20"/>
                <w:color w:val="auto"/>
              </w:rPr>
            </w:pPr>
            <w:r>
              <w:rPr>
                <w:rFonts w:ascii="Arial" w:cs="Arial" w:eastAsia="Arial" w:hAnsi="Arial"/>
                <w:sz w:val="15"/>
                <w:szCs w:val="15"/>
                <w:b w:val="1"/>
                <w:bCs w:val="1"/>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7"/>
        </w:trPr>
        <w:tc>
          <w:tcPr>
            <w:tcW w:w="4160" w:type="dxa"/>
            <w:vAlign w:val="bottom"/>
            <w:gridSpan w:val="2"/>
            <w:shd w:val="clear" w:color="auto" w:fill="E5E5E5"/>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Audit Fees</w:t>
            </w:r>
            <w:r>
              <w:rPr>
                <w:rFonts w:ascii="Arial" w:cs="Arial" w:eastAsia="Arial" w:hAnsi="Arial"/>
                <w:sz w:val="17"/>
                <w:szCs w:val="17"/>
                <w:color w:val="auto"/>
                <w:vertAlign w:val="superscript"/>
              </w:rPr>
              <w:t>(1)</w:t>
            </w:r>
          </w:p>
        </w:tc>
        <w:tc>
          <w:tcPr>
            <w:tcW w:w="3860" w:type="dxa"/>
            <w:vAlign w:val="bottom"/>
            <w:gridSpan w:val="4"/>
            <w:shd w:val="clear" w:color="auto" w:fill="E5E5E5"/>
          </w:tcPr>
          <w:p>
            <w:pPr>
              <w:jc w:val="right"/>
              <w:spacing w:after="0"/>
              <w:rPr>
                <w:sz w:val="20"/>
                <w:szCs w:val="20"/>
                <w:color w:val="auto"/>
              </w:rPr>
            </w:pPr>
            <w:r>
              <w:rPr>
                <w:rFonts w:ascii="Arial" w:cs="Arial" w:eastAsia="Arial" w:hAnsi="Arial"/>
                <w:sz w:val="15"/>
                <w:szCs w:val="15"/>
                <w:color w:val="auto"/>
              </w:rPr>
              <w:t>​ ​​$    2,175,860​​</w:t>
            </w:r>
          </w:p>
        </w:tc>
        <w:tc>
          <w:tcPr>
            <w:tcW w:w="1180" w:type="dxa"/>
            <w:vAlign w:val="bottom"/>
            <w:gridSpan w:val="3"/>
            <w:shd w:val="clear" w:color="auto" w:fill="E5E5E5"/>
          </w:tcPr>
          <w:p>
            <w:pPr>
              <w:jc w:val="right"/>
              <w:spacing w:after="0"/>
              <w:rPr>
                <w:sz w:val="20"/>
                <w:szCs w:val="20"/>
                <w:color w:val="auto"/>
              </w:rPr>
            </w:pPr>
            <w:r>
              <w:rPr>
                <w:rFonts w:ascii="Arial" w:cs="Arial" w:eastAsia="Arial" w:hAnsi="Arial"/>
                <w:sz w:val="15"/>
                <w:szCs w:val="15"/>
                <w:color w:val="auto"/>
              </w:rPr>
              <w:t>​​$    2,677,962​​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060" w:type="dxa"/>
            <w:vAlign w:val="bottom"/>
          </w:tcPr>
          <w:p>
            <w:pPr>
              <w:spacing w:after="0" w:line="175" w:lineRule="exact"/>
              <w:rPr>
                <w:sz w:val="20"/>
                <w:szCs w:val="20"/>
                <w:color w:val="auto"/>
              </w:rPr>
            </w:pPr>
            <w:r>
              <w:rPr>
                <w:rFonts w:ascii="Arial" w:cs="Arial" w:eastAsia="Arial" w:hAnsi="Arial"/>
                <w:sz w:val="15"/>
                <w:szCs w:val="15"/>
                <w:color w:val="auto"/>
              </w:rPr>
              <w:t>Audit-Related Fees</w:t>
            </w:r>
            <w:r>
              <w:rPr>
                <w:rFonts w:ascii="Arial" w:cs="Arial" w:eastAsia="Arial" w:hAnsi="Arial"/>
                <w:sz w:val="19"/>
                <w:szCs w:val="19"/>
                <w:color w:val="auto"/>
                <w:vertAlign w:val="superscript"/>
              </w:rPr>
              <w:t>(2)</w:t>
            </w:r>
          </w:p>
        </w:tc>
        <w:tc>
          <w:tcPr>
            <w:tcW w:w="2680" w:type="dxa"/>
            <w:vAlign w:val="bottom"/>
            <w:vMerge w:val="restart"/>
          </w:tcPr>
          <w:p>
            <w:pPr>
              <w:ind w:left="264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02"/>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117"/>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406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380" w:type="dxa"/>
            <w:vAlign w:val="bottom"/>
          </w:tcPr>
          <w:p>
            <w:pPr>
              <w:jc w:val="right"/>
              <w:ind w:right="162"/>
              <w:spacing w:after="0" w:line="68" w:lineRule="exact"/>
              <w:rPr>
                <w:sz w:val="20"/>
                <w:szCs w:val="20"/>
                <w:color w:val="auto"/>
              </w:rPr>
            </w:pPr>
            <w:r>
              <w:rPr>
                <w:rFonts w:ascii="Arial" w:cs="Arial" w:eastAsia="Arial" w:hAnsi="Arial"/>
                <w:sz w:val="7"/>
                <w:szCs w:val="7"/>
                <w:color w:val="auto"/>
              </w:rPr>
              <w:t>​​</w:t>
            </w:r>
          </w:p>
        </w:tc>
        <w:tc>
          <w:tcPr>
            <w:tcW w:w="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00" w:type="dxa"/>
            <w:vAlign w:val="bottom"/>
          </w:tcPr>
          <w:p>
            <w:pPr>
              <w:jc w:val="right"/>
              <w:ind w:right="177"/>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E5E5E5"/>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Tax Fees</w:t>
            </w:r>
            <w:r>
              <w:rPr>
                <w:rFonts w:ascii="Arial" w:cs="Arial" w:eastAsia="Arial" w:hAnsi="Arial"/>
                <w:sz w:val="18"/>
                <w:szCs w:val="18"/>
                <w:color w:val="auto"/>
                <w:vertAlign w:val="superscript"/>
              </w:rPr>
              <w:t>(3)</w:t>
            </w:r>
          </w:p>
        </w:tc>
        <w:tc>
          <w:tcPr>
            <w:tcW w:w="3060" w:type="dxa"/>
            <w:vAlign w:val="bottom"/>
            <w:gridSpan w:val="2"/>
            <w:shd w:val="clear" w:color="auto" w:fill="E5E5E5"/>
          </w:tcPr>
          <w:p>
            <w:pPr>
              <w:jc w:val="right"/>
              <w:ind w:right="102"/>
              <w:spacing w:after="0"/>
              <w:rPr>
                <w:sz w:val="20"/>
                <w:szCs w:val="20"/>
                <w:color w:val="auto"/>
              </w:rPr>
            </w:pPr>
            <w:r>
              <w:rPr>
                <w:rFonts w:ascii="Arial" w:cs="Arial" w:eastAsia="Arial" w:hAnsi="Arial"/>
                <w:sz w:val="15"/>
                <w:szCs w:val="15"/>
                <w:color w:val="auto"/>
              </w:rPr>
              <w:t>​ ​​$</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252,346​​</w:t>
            </w:r>
          </w:p>
        </w:tc>
        <w:tc>
          <w:tcPr>
            <w:tcW w:w="400" w:type="dxa"/>
            <w:vAlign w:val="bottom"/>
            <w:shd w:val="clear" w:color="auto" w:fill="E5E5E5"/>
          </w:tcPr>
          <w:p>
            <w:pPr>
              <w:jc w:val="right"/>
              <w:ind w:right="117"/>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14,449​​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060" w:type="dxa"/>
            <w:vAlign w:val="bottom"/>
          </w:tcPr>
          <w:p>
            <w:pPr>
              <w:spacing w:after="0" w:line="175" w:lineRule="exact"/>
              <w:rPr>
                <w:sz w:val="20"/>
                <w:szCs w:val="20"/>
                <w:color w:val="auto"/>
              </w:rPr>
            </w:pPr>
            <w:r>
              <w:rPr>
                <w:rFonts w:ascii="Arial" w:cs="Arial" w:eastAsia="Arial" w:hAnsi="Arial"/>
                <w:sz w:val="15"/>
                <w:szCs w:val="15"/>
                <w:color w:val="auto"/>
              </w:rPr>
              <w:t>All Other Fees</w:t>
            </w:r>
            <w:r>
              <w:rPr>
                <w:rFonts w:ascii="Arial" w:cs="Arial" w:eastAsia="Arial" w:hAnsi="Arial"/>
                <w:sz w:val="19"/>
                <w:szCs w:val="19"/>
                <w:color w:val="auto"/>
                <w:vertAlign w:val="superscript"/>
              </w:rPr>
              <w:t>(4)</w:t>
            </w:r>
          </w:p>
        </w:tc>
        <w:tc>
          <w:tcPr>
            <w:tcW w:w="2680" w:type="dxa"/>
            <w:vAlign w:val="bottom"/>
            <w:vMerge w:val="restart"/>
          </w:tcPr>
          <w:p>
            <w:pPr>
              <w:ind w:left="264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02"/>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2,051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117"/>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auto"/>
            </w:tcBorders>
            <w:vMerge w:val="continue"/>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vMerge w:val="continue"/>
          </w:tcPr>
          <w:p>
            <w:pPr>
              <w:spacing w:after="0"/>
              <w:rPr>
                <w:sz w:val="4"/>
                <w:szCs w:val="4"/>
                <w:color w:val="auto"/>
              </w:rPr>
            </w:pPr>
          </w:p>
        </w:tc>
        <w:tc>
          <w:tcPr>
            <w:tcW w:w="380" w:type="dxa"/>
            <w:vAlign w:val="bottom"/>
            <w:tcBorders>
              <w:bottom w:val="single" w:sz="8" w:color="auto"/>
            </w:tcBorders>
          </w:tcPr>
          <w:p>
            <w:pPr>
              <w:jc w:val="right"/>
              <w:ind w:right="162"/>
              <w:spacing w:after="0" w:line="54" w:lineRule="exact"/>
              <w:rPr>
                <w:sz w:val="20"/>
                <w:szCs w:val="20"/>
                <w:color w:val="auto"/>
              </w:rPr>
            </w:pPr>
            <w:r>
              <w:rPr>
                <w:rFonts w:ascii="Arial" w:cs="Arial" w:eastAsia="Arial" w:hAnsi="Arial"/>
                <w:sz w:val="5"/>
                <w:szCs w:val="5"/>
                <w:color w:val="auto"/>
              </w:rPr>
              <w:t>​​</w:t>
            </w: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400" w:type="dxa"/>
            <w:vAlign w:val="bottom"/>
            <w:tcBorders>
              <w:bottom w:val="single" w:sz="8" w:color="auto"/>
            </w:tcBorders>
          </w:tcPr>
          <w:p>
            <w:pPr>
              <w:jc w:val="right"/>
              <w:ind w:right="177"/>
              <w:spacing w:after="0" w:line="54" w:lineRule="exact"/>
              <w:rPr>
                <w:sz w:val="20"/>
                <w:szCs w:val="20"/>
                <w:color w:val="auto"/>
              </w:rPr>
            </w:pPr>
            <w:r>
              <w:rPr>
                <w:rFonts w:ascii="Arial" w:cs="Arial" w:eastAsia="Arial" w:hAnsi="Arial"/>
                <w:sz w:val="5"/>
                <w:szCs w:val="5"/>
                <w:color w:val="auto"/>
              </w:rPr>
              <w:t>​​</w:t>
            </w: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1120" w:right="40" w:hanging="358"/>
        <w:spacing w:after="0" w:line="269" w:lineRule="auto"/>
        <w:tabs>
          <w:tab w:leader="none" w:pos="11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aggregate fees billed by Deloitte in 2025 and E&amp;Y in 2024 for (a) professional services rendered for the audit of our annual financial statements for the years ended December 31, 2025 and December 31, 2024, (b) the audit of management’s assessment of the effectiveness of our internal control over financial reporting as of December 31, 2025 and December 31, 2024, and (c) reviews of the financial statements included in our Quarterly Reports on Form 10-Q, Annual Reports on Form 10-K, Brigit acquisition Form S-3 filed with the SEC in 2025, and in the 2021 Plan Form S-8 filed with the SEC in 2024.</w:t>
      </w:r>
    </w:p>
    <w:p>
      <w:pPr>
        <w:ind w:left="1120" w:right="40" w:hanging="358"/>
        <w:spacing w:after="0" w:line="271" w:lineRule="auto"/>
        <w:tabs>
          <w:tab w:leader="none" w:pos="11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aggregate fees billed by Deloitte in 2025 and E&amp;Y in 2024, if any, for assurance and related services that are reasonably related to the performance of the audit or review of our financial statements and are not reported above under the caption “Audit Fees.”</w:t>
      </w:r>
    </w:p>
    <w:p>
      <w:pPr>
        <w:ind w:left="1120" w:right="40" w:hanging="358"/>
        <w:spacing w:after="0" w:line="261" w:lineRule="auto"/>
        <w:tabs>
          <w:tab w:leader="none" w:pos="11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aggregate fees billed by Deloitte in 2025, and E&amp;Y in 2024, for professional services rendered for tax compliance, tax advice and tax planning. These services comprise engagements related to federal and international tax compliance and planning.</w:t>
      </w:r>
    </w:p>
    <w:p>
      <w:pPr>
        <w:ind w:left="1120" w:hanging="358"/>
        <w:spacing w:after="0"/>
        <w:tabs>
          <w:tab w:leader="none" w:pos="11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aggregate fees billed by Deloitte in 2025 for a subscription to Deloitte’s accounting research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79"/>
        <w:spacing w:after="0"/>
        <w:rPr>
          <w:sz w:val="20"/>
          <w:szCs w:val="20"/>
          <w:color w:val="auto"/>
        </w:rPr>
      </w:pPr>
      <w:r>
        <w:rPr>
          <w:rFonts w:ascii="Arial" w:cs="Arial" w:eastAsia="Arial" w:hAnsi="Arial"/>
          <w:sz w:val="40"/>
          <w:szCs w:val="40"/>
          <w:b w:val="1"/>
          <w:bCs w:val="1"/>
          <w:color w:val="auto"/>
        </w:rPr>
        <w:t>AUDIT AND RISK COMMITTEE REPORT</w:t>
      </w:r>
    </w:p>
    <w:p>
      <w:pPr>
        <w:spacing w:after="0" w:line="142"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i w:val="1"/>
          <w:iCs w:val="1"/>
          <w:color w:val="auto"/>
        </w:rPr>
        <w:t>The material in this Report is not “soliciting material”, is not deemed “filed” with the SEC and is not to be incorporated by reference into any filing under the Securities Act of 1933 (the “Securities Act”) or the Securities Exchange Act of 1934 (the “Exchange Act”), whether made before or after the date hereof and irrespective of any general incorporation by reference language in such filing.</w:t>
      </w:r>
    </w:p>
    <w:p>
      <w:pPr>
        <w:spacing w:after="0" w:line="313"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In accordance with its written charter adopted by the Board, the Audit &amp; Risk Committee assists the Board in fulfilling its oversight responsibilities by, among other things, reviewing the financial reports and other financial information provided by the Company to any governmental body or the public.</w:t>
      </w:r>
    </w:p>
    <w:p>
      <w:pPr>
        <w:spacing w:after="0" w:line="97"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color w:val="auto"/>
        </w:rPr>
        <w:t>In discharging its oversight responsibilities, the Audit &amp; Risk Committee obtained from the independent registered public accounting firm a formal written statement describing all relationships between the firm and the Company that might bear on the auditors’ independence consistent with the applicable requirements of the Public Company Accounting Oversight Board, discussed with the independent auditors any relationships that may impact their objectivity and independence, and satisfied itself as to the auditors’ independence. The Audit &amp; Risk Committee also discussed with management, the internal auditors and the independent auditors the integrity of the Company’s financial reporting processes, including the Company’s internal accounting systems and controls, and reviewed with management and the independent auditors the Company’s significant accounting principles and financial reporting issues, including judgments made in connection with the preparation of the Company’s financial statements. The Audit &amp; Risk Committee also reviewed with the independent auditors their audit plans, audit scope and identification of audit risks.</w:t>
      </w:r>
    </w:p>
    <w:p>
      <w:pPr>
        <w:spacing w:after="0" w:line="124"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The Audit &amp; Risk Committee discussed with the independent auditors the matters required to be discussed by the Public Company Accounting Oversight Board and the SEC, and, with and without management present, discussed and reviewed the results of the independent auditors’ examination of the consolidated financial statements of the Company.</w:t>
      </w:r>
    </w:p>
    <w:p>
      <w:pPr>
        <w:spacing w:after="0" w:line="97"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color w:val="auto"/>
        </w:rPr>
        <w:t>The Audit &amp; Risk Committee reviewed and discussed the audited consolidated financial statements of the Company as of and for the year ended December 31, 2025 with management and the independent auditors. Management is responsible for the Company’s financial reporting process, including its system of internal control over financial reporting (as defined in Rule 13a-15(f) promulgated under the Exchange Act), and for the preparation of the Company’s consolidated financial statements in accordance with generally accepted accounting principles. The independent auditor is responsible for auditing those financial statements and expressing an opinion on the effectiveness of internal control over financial reporting. The Audit &amp; Risk Committee’s responsibility is to monitor and review these processes. The members of the Audit &amp; Risk Committee are “independent” as defined by SEC and Nasdaq rules, and our Board has determined that Mr. Jeffrey Brown is an “audit committee financial expert” as defined by SEC rules.</w:t>
      </w:r>
    </w:p>
    <w:p>
      <w:pPr>
        <w:spacing w:after="0" w:line="123"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The Audit &amp; Risk Committee discussed with the Company’s internal and independent auditors the overall scope and plans for their respective audits, including internal control testing under Section 404 of the Sarbanes-Oxley Act. The Audit &amp; Risk Committee periodically meets with the Company’s internal and independent auditors, with and without management present, and in private sessions with members of senior management to discuss the results of their examinations, their evaluations of the Company’s internal controls, and the overall quality of the Company’s financial reporting. The Audit &amp; Risk Committee also periodically meets in executive session.</w:t>
      </w:r>
    </w:p>
    <w:p>
      <w:pPr>
        <w:spacing w:after="0" w:line="104"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In reliance on the reviews and discussions referred to above, the Audit &amp; Risk Committee recommended to the Board (and the Board subsequently approved the recommendation) that the audited financial statements be included in the Company’s Annual Report on Form 10-K for the year ended December 31, 2025, for filing with the SEC.</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AUDIT &amp; RISK COMMITTEE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Jeffrey Brown, Chairman</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Harold Lewis</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Carol McFate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26</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39"/>
        <w:spacing w:after="0"/>
        <w:rPr>
          <w:sz w:val="20"/>
          <w:szCs w:val="20"/>
          <w:color w:val="auto"/>
        </w:rPr>
      </w:pPr>
      <w:r>
        <w:rPr>
          <w:rFonts w:ascii="Arial" w:cs="Arial" w:eastAsia="Arial" w:hAnsi="Arial"/>
          <w:sz w:val="40"/>
          <w:szCs w:val="40"/>
          <w:b w:val="1"/>
          <w:bCs w:val="1"/>
          <w:color w:val="auto"/>
        </w:rPr>
        <w:t>EXECUTIVE OFFICERS</w:t>
      </w:r>
    </w:p>
    <w:p>
      <w:pPr>
        <w:spacing w:after="0" w:line="140"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The Board appoints our executive officers annually and updates the executive officer positions as needed throughout the year. Each executive officer serves at the behest of the Board and until such officer’s successor is appointed, or until the earlier of such officer’s death, resignation or removal. The following sets forth certain biographical information with respect to our executive officers as of the date of this proxy statement.</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Mr. Karam’s biographical information is set forth above under “Proposal One: Election of Directors.”</w:t>
      </w:r>
    </w:p>
    <w:p>
      <w:pPr>
        <w:spacing w:after="0" w:line="186"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gridSpan w:val="2"/>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Anthony Blasquez</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400" w:type="dxa"/>
            <w:vAlign w:val="bottom"/>
          </w:tcPr>
          <w:p>
            <w:pPr>
              <w:spacing w:after="0"/>
              <w:rPr>
                <w:sz w:val="16"/>
                <w:szCs w:val="16"/>
                <w:color w:val="auto"/>
              </w:rPr>
            </w:pPr>
          </w:p>
        </w:tc>
        <w:tc>
          <w:tcPr>
            <w:tcW w:w="48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8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Executive Vice President — Rent-A-Center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Age: 50</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-414655</wp:posOffset>
            </wp:positionV>
            <wp:extent cx="480060" cy="531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378" w:lineRule="exact"/>
        <w:rPr>
          <w:sz w:val="20"/>
          <w:szCs w:val="20"/>
          <w:color w:val="auto"/>
        </w:rPr>
      </w:pPr>
    </w:p>
    <w:p>
      <w:pPr>
        <w:jc w:val="both"/>
        <w:ind w:left="760" w:right="40"/>
        <w:spacing w:after="0" w:line="269" w:lineRule="auto"/>
        <w:rPr>
          <w:sz w:val="20"/>
          <w:szCs w:val="20"/>
          <w:color w:val="auto"/>
        </w:rPr>
      </w:pPr>
      <w:r>
        <w:rPr>
          <w:rFonts w:ascii="Arial" w:cs="Arial" w:eastAsia="Arial" w:hAnsi="Arial"/>
          <w:sz w:val="16"/>
          <w:szCs w:val="16"/>
          <w:color w:val="auto"/>
        </w:rPr>
        <w:t>Mr. Blasquez was named Executive Vice President — Rent-A-Center effective as of June 1, 2020. In such role, Mr. Blasquez focuses on improving the Rent-A-Center omni-channel business, which includes impacting performance from both e-commerce and the traditional store business. Mr. Blasquez has been with Upbound for 27 years and has served in every field operations position in the Company, most recently Divisional Vice President of Operations from 2015 to 2020 prior to being promoted to his current position.</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gridSpan w:val="2"/>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Hal Khouri</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400" w:type="dxa"/>
            <w:vAlign w:val="bottom"/>
          </w:tcPr>
          <w:p>
            <w:pPr>
              <w:spacing w:after="0"/>
              <w:rPr>
                <w:sz w:val="16"/>
                <w:szCs w:val="16"/>
                <w:color w:val="auto"/>
              </w:rPr>
            </w:pPr>
          </w:p>
        </w:tc>
        <w:tc>
          <w:tcPr>
            <w:tcW w:w="48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8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Executive Vice President — Chief Financial Officer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Age: 56</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-414655</wp:posOffset>
            </wp:positionV>
            <wp:extent cx="480060" cy="531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392"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Mr. Khouri was appointed Executive Vice President — Chief Financial Officer effective November 10, 2025. Mr. Khouri has over 30 years of experience in consumer-based banking, financial services, leasing, retail, consulting and government service. He is a seasoned chief financial officer with an extensive background in driving corporate growth and shareholder return through strategic financial governance and stewardship. From August 2019 through November 2025, Mr. Khouri served as the Executive Vice President and Chief Financial Officer of goeasy Ltd. (TSX: GSY), one of Canada’s leading providers of non-prime consumer leasing and lending solutions, offering a full suite of products, including unsecured and secured loans, as well as point-of-sale-financing in automobile, powersports, retail and healthcare verticals through an omnichannel delivery network. Prior to his appointment at goeasy in 2019, Mr. Khouri was Chief Financial Officer of Walmart Canada Bank (now known as Fairstone Bank of Canada). He has also held the position of Chief Financial Officer at JPMorgan Chase Canada Bank and previous senior roles at MBNA Canada, Deloitte, and the Ontario Ministry of Finance.</w:t>
      </w:r>
    </w:p>
    <w:p>
      <w:pPr>
        <w:spacing w:after="0" w:line="143"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gridSpan w:val="2"/>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Balaji Kumar</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400" w:type="dxa"/>
            <w:vAlign w:val="bottom"/>
          </w:tcPr>
          <w:p>
            <w:pPr>
              <w:spacing w:after="0"/>
              <w:rPr>
                <w:sz w:val="16"/>
                <w:szCs w:val="16"/>
                <w:color w:val="auto"/>
              </w:rPr>
            </w:pPr>
          </w:p>
        </w:tc>
        <w:tc>
          <w:tcPr>
            <w:tcW w:w="48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8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Executive Vice President — Chief Technology Officer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Age: 52</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-414655</wp:posOffset>
            </wp:positionV>
            <wp:extent cx="480060" cy="531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378" w:lineRule="exact"/>
        <w:rPr>
          <w:sz w:val="20"/>
          <w:szCs w:val="20"/>
          <w:color w:val="auto"/>
        </w:rPr>
      </w:pPr>
    </w:p>
    <w:p>
      <w:pPr>
        <w:jc w:val="both"/>
        <w:ind w:left="760" w:right="40"/>
        <w:spacing w:after="0" w:line="284" w:lineRule="auto"/>
        <w:rPr>
          <w:sz w:val="20"/>
          <w:szCs w:val="20"/>
          <w:color w:val="auto"/>
        </w:rPr>
      </w:pPr>
      <w:r>
        <w:rPr>
          <w:rFonts w:ascii="Arial" w:cs="Arial" w:eastAsia="Arial" w:hAnsi="Arial"/>
          <w:sz w:val="16"/>
          <w:szCs w:val="16"/>
          <w:color w:val="auto"/>
        </w:rPr>
        <w:t>Mr. Kumar has served as our Executive Vice President — Chief Technology Officer since March 30, 2026. He is responsible for driving the engineering and technology transformation that powers our mission to deliver accessible and inclusive financial solutions to underserved consumers.</w:t>
      </w:r>
    </w:p>
    <w:p>
      <w:pPr>
        <w:spacing w:after="0" w:line="89"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Mr. Kumar brings more than 25 years of technology leadership experience across financial services and retail. Most recently, he served as Head of Global Technology Infrastructure at Citi, where he spearheaded the firm’s public cloud strategy, drove large-scale modernization, and established the foundation that powered Generative AI adoption across the enterprise. Prior to this role, he was CTO, responsible for the technology strategy, developer platforms, and enterprise architecture modernization for Citi’s Global Consumer Bank. Prior to Citi, Mr. Kumar served as Head of Enterprise Technology and CISO at 7-Eleven and CIO of Dealer Auto Finance at Capital One, where he drove operational efficiency, modernized technology foundations, and delivered industry-leading digital platforms for consumers across retail and financial services. Earlier in his career, Mr. Kumar held progressive engineering leadership roles at Verizon Communications, spanning consumer applications, FiOS, and cloud and data center services.</w:t>
      </w:r>
    </w:p>
    <w:p>
      <w:pPr>
        <w:spacing w:after="0" w:line="123" w:lineRule="exact"/>
        <w:rPr>
          <w:sz w:val="20"/>
          <w:szCs w:val="20"/>
          <w:color w:val="auto"/>
        </w:rPr>
      </w:pPr>
    </w:p>
    <w:p>
      <w:pPr>
        <w:jc w:val="both"/>
        <w:ind w:left="760" w:right="40"/>
        <w:spacing w:after="0" w:line="286" w:lineRule="auto"/>
        <w:rPr>
          <w:sz w:val="20"/>
          <w:szCs w:val="20"/>
          <w:color w:val="auto"/>
        </w:rPr>
      </w:pPr>
      <w:r>
        <w:rPr>
          <w:rFonts w:ascii="Arial" w:cs="Arial" w:eastAsia="Arial" w:hAnsi="Arial"/>
          <w:sz w:val="16"/>
          <w:szCs w:val="16"/>
          <w:color w:val="auto"/>
        </w:rPr>
        <w:t>He serves on the Advisory Board of the Electrical and Computer Engineering Department at the University of Florida and is a mentor at the Center for Technology Management and Digital Leadership at Northeastern University.</w:t>
      </w:r>
    </w:p>
    <w:p>
      <w:pPr>
        <w:spacing w:after="0" w:line="200" w:lineRule="exact"/>
        <w:rPr>
          <w:sz w:val="20"/>
          <w:szCs w:val="20"/>
          <w:color w:val="auto"/>
        </w:rPr>
      </w:pPr>
    </w:p>
    <w:p>
      <w:pPr>
        <w:spacing w:after="0" w:line="392"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EXECUTIVE OFFICERS</w:t>
      </w:r>
    </w:p>
    <w:p>
      <w:pPr>
        <w:spacing w:after="0" w:line="361"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gridSpan w:val="2"/>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Tyler Montrone</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400" w:type="dxa"/>
            <w:vAlign w:val="bottom"/>
          </w:tcPr>
          <w:p>
            <w:pPr>
              <w:spacing w:after="0"/>
              <w:rPr>
                <w:sz w:val="16"/>
                <w:szCs w:val="16"/>
                <w:color w:val="auto"/>
              </w:rPr>
            </w:pPr>
          </w:p>
        </w:tc>
        <w:tc>
          <w:tcPr>
            <w:tcW w:w="48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8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Executive Vice President — Acima</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Age: 45</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-414655</wp:posOffset>
            </wp:positionV>
            <wp:extent cx="480060" cy="531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392"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Mr. Montrone has served as our Executive Vice President — Acima since February 20, 2023. From July 2022 through February 2023, Mr. Montrone served as Acima’s Chief Development Officer, and he previously served as Acima’s SVP, Assistant General Counsel/Compliance Officer from February 2021 through June 2022 and Chief Legal and Compliance Officer of Acima from March 2016 through February 2021. Mr. Montrone earned both his Bachelor of Science in accounting and Master in Taxation from Weber State University, and he also earned a Juris Doctor from the University of Arkansas.</w:t>
      </w:r>
    </w:p>
    <w:p>
      <w:pPr>
        <w:spacing w:after="0" w:line="137"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gridSpan w:val="2"/>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Bryan Pechersky</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400" w:type="dxa"/>
            <w:vAlign w:val="bottom"/>
          </w:tcPr>
          <w:p>
            <w:pPr>
              <w:spacing w:after="0"/>
              <w:rPr>
                <w:sz w:val="16"/>
                <w:szCs w:val="16"/>
                <w:color w:val="auto"/>
              </w:rPr>
            </w:pPr>
          </w:p>
        </w:tc>
        <w:tc>
          <w:tcPr>
            <w:tcW w:w="48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8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Executive Vice President — General Counsel and Corporate Secretary</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Age: 55</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-414655</wp:posOffset>
            </wp:positionV>
            <wp:extent cx="480060" cy="531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392" w:lineRule="exact"/>
        <w:rPr>
          <w:sz w:val="20"/>
          <w:szCs w:val="20"/>
          <w:color w:val="auto"/>
        </w:rPr>
      </w:pPr>
    </w:p>
    <w:p>
      <w:pPr>
        <w:jc w:val="both"/>
        <w:ind w:left="760" w:right="40"/>
        <w:spacing w:after="0" w:line="261" w:lineRule="auto"/>
        <w:rPr>
          <w:sz w:val="20"/>
          <w:szCs w:val="20"/>
          <w:color w:val="auto"/>
        </w:rPr>
      </w:pPr>
      <w:r>
        <w:rPr>
          <w:rFonts w:ascii="Arial" w:cs="Arial" w:eastAsia="Arial" w:hAnsi="Arial"/>
          <w:sz w:val="16"/>
          <w:szCs w:val="16"/>
          <w:color w:val="auto"/>
        </w:rPr>
        <w:t>Mr. Pechersky was named Executive Vice President — General Counsel and Corporate Secretary effective as of June 1, 2020. Mr. Pechersky oversees our legal department and government affairs program. Prior to joining Upbound, Mr. Pechersky served from 2010 through 2019 as Executive Vice President, General Counsel and Corporate Secretary for Cloud Peak Energy Inc., a publicly traded mining and logistics supplier to U.S. and Asian utilities. From 2007 to 2010, Mr. Pechersky was Senior Vice President, General Counsel and Secretary for Harte-Hanks, Inc., a publicly traded worldwide, direct and targeted marketing company. From 2005 to 2007, Mr. Pechersky was Senior Vice President, Secretary and Senior Corporate Counsel for Blockbuster Inc., a publicly traded global movie and game entertainment retailer. From 2004 to 2005, Mr. Pechersky was Deputy General Counsel and Secretary for Unocal Corporation, a publicly traded international energy company acquired by Chevron Corporation in 2005. Prior to these positions, from 1996 to 2004, Mr. Pechersky was a capital markets, mergers and acquisitions and litigation attorney for Vinson &amp; Elkins L.L.P., a leading global law firm. Mr. Pechersky also served as a Law Clerk to the Hon. Loretta A. Preska of the U.S. District Court for the Southern District of New York in 1995 and 1996.</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gridSpan w:val="2"/>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Tran Taylor</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02"/>
        </w:trPr>
        <w:tc>
          <w:tcPr>
            <w:tcW w:w="400" w:type="dxa"/>
            <w:vAlign w:val="bottom"/>
          </w:tcPr>
          <w:p>
            <w:pPr>
              <w:spacing w:after="0"/>
              <w:rPr>
                <w:sz w:val="17"/>
                <w:szCs w:val="17"/>
                <w:color w:val="auto"/>
              </w:rPr>
            </w:pPr>
          </w:p>
        </w:tc>
        <w:tc>
          <w:tcPr>
            <w:tcW w:w="48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8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Executive Vice President — Chief Human Resources Officer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Age: 60</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-422910</wp:posOffset>
            </wp:positionV>
            <wp:extent cx="480060" cy="531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378"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Mr. Taylor has served as our Executive Vice President — Chief Human Resources Officer since July 2021. From 2008 through 2021, Mr. Taylor served on the executive leadership team as the CHRO/CPO for Bumble, Mr. Cooper and Travelocity. Mr. Taylor has a demonstrated track record of leading the human resources function, establishing human resources strategy, and optimizing culture and people practices. Additionally, from 2001 to 2008, Mr. Taylor led the human resources function for retail-focused companies, such as Alliance Data and The Home Depot. He has directed human resources integration for multiple merger and acquisition efforts and also served as a key enabler for several transformational change initiatives. Mr. Taylor earned both his Bachelor and Master degrees from West Virginia University.</w:t>
      </w:r>
    </w:p>
    <w:p>
      <w:pPr>
        <w:spacing w:after="0" w:line="141"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gridSpan w:val="2"/>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Rebecca Wooters</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188"/>
        </w:trPr>
        <w:tc>
          <w:tcPr>
            <w:tcW w:w="400" w:type="dxa"/>
            <w:vAlign w:val="bottom"/>
          </w:tcPr>
          <w:p>
            <w:pPr>
              <w:spacing w:after="0"/>
              <w:rPr>
                <w:sz w:val="16"/>
                <w:szCs w:val="16"/>
                <w:color w:val="auto"/>
              </w:rPr>
            </w:pPr>
          </w:p>
        </w:tc>
        <w:tc>
          <w:tcPr>
            <w:tcW w:w="48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8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Executive Vice President — Chief Growth Officer</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Age: 55</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-414655</wp:posOffset>
            </wp:positionV>
            <wp:extent cx="480060" cy="53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392"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Ms. Wooters was named Chief Growth Officer effective September 18, 2025. In her role, Ms. Wooters leads Upbound’s marketing, data, analytics, customer experience, and product development teams as part of a single integrated growth organization. Under Ms. Wooters’ leadership, the growth organization partners with Upbound business segments to identify synergies and drive growth through innovative digital products with a focus on seamless customer experiences. From 2020 to 2025, Ms. Wooters served as the first Chief Digital Officer at Signet Jewelers, the world’s largest specialty retail jeweler. There, she led the digital transformation of brands including Kay Jewelers, Zales, and Jared, implementing a connected commerce strategy powered by enterprise data, artificial intelligence, and agile delivery. Prior to Signet, Ms. Wooters held senior roles at Citigroup Inc., including Managing Director; Chief Customer Experience Officer.</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60" w:hanging="398"/>
        <w:spacing w:after="0"/>
        <w:tabs>
          <w:tab w:leader="none" w:pos="116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00"/>
        <w:spacing w:after="0"/>
        <w:rPr>
          <w:sz w:val="20"/>
          <w:szCs w:val="20"/>
          <w:color w:val="auto"/>
        </w:rPr>
      </w:pPr>
      <w:r>
        <w:rPr>
          <w:rFonts w:ascii="Arial" w:cs="Arial" w:eastAsia="Arial" w:hAnsi="Arial"/>
          <w:sz w:val="38"/>
          <w:szCs w:val="38"/>
          <w:b w:val="1"/>
          <w:bCs w:val="1"/>
          <w:color w:val="auto"/>
        </w:rPr>
        <w:t>COMPENSATION DISCUSSION AND ANALYSIS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We are committed to maintaining a strong pay-for-performance culture. The compensation program is reviewed annually to assure that its objectives and components are aligned with the Company’s strategic goals and culture, and also that it incentivizes short- and long-term profitability and ethical business conduct in accordance with our values.</w:t>
      </w:r>
    </w:p>
    <w:p>
      <w:pPr>
        <w:spacing w:after="0" w:line="89"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This Compensation Discussion and Analysis (“CD&amp;A”) describes key features of our executive compensation program, summarizes the 2025 cash and equity incentive compensation received by our named executive officers, highlights the strong pay for performance alignment of our executives’ compensation with our financial, operating and stockholder returns and provides additional context to the data presented in the compensation tables included below in this proxy statement. The term “executive officers” means our senior executives who are listed above under the heading “Executive Officers” and also includes our Chief Executive Officer, Mr. Karam. The term “named executive officers” means the six current and former executive officers identified in the table below.</w:t>
      </w:r>
    </w:p>
    <w:p>
      <w:pPr>
        <w:spacing w:after="0" w:line="17" w:lineRule="exact"/>
        <w:rPr>
          <w:sz w:val="20"/>
          <w:szCs w:val="20"/>
          <w:color w:val="auto"/>
        </w:rPr>
      </w:pPr>
    </w:p>
    <w:tbl>
      <w:tblPr>
        <w:tblLayout w:type="fixed"/>
        <w:tblInd w:w="760" w:type="dxa"/>
        <w:tblCellMar>
          <w:top w:w="0" w:type="dxa"/>
          <w:left w:w="0" w:type="dxa"/>
          <w:bottom w:w="0" w:type="dxa"/>
          <w:right w:w="0" w:type="dxa"/>
        </w:tblCellMar>
      </w:tblPr>
      <w:tr>
        <w:trPr>
          <w:trHeight w:val="389"/>
        </w:trPr>
        <w:tc>
          <w:tcPr>
            <w:tcW w:w="2200" w:type="dxa"/>
            <w:vAlign w:val="bottom"/>
            <w:tcBorders>
              <w:bottom w:val="single" w:sz="8" w:color="auto"/>
            </w:tcBorders>
          </w:tcPr>
          <w:p>
            <w:pPr>
              <w:spacing w:after="0"/>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Named Executive Officer</w:t>
            </w:r>
          </w:p>
        </w:tc>
        <w:tc>
          <w:tcPr>
            <w:tcW w:w="6080" w:type="dxa"/>
            <w:vAlign w:val="bottom"/>
            <w:tcBorders>
              <w:bottom w:val="single" w:sz="8" w:color="auto"/>
            </w:tcBorders>
          </w:tcPr>
          <w:p>
            <w:pPr>
              <w:ind w:left="280"/>
              <w:spacing w:after="0"/>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5"/>
                <w:szCs w:val="15"/>
                <w:b w:val="1"/>
                <w:bCs w:val="1"/>
                <w:color w:val="auto"/>
              </w:rPr>
              <w:t xml:space="preserve"> Title</w:t>
            </w: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w:t>
            </w:r>
          </w:p>
        </w:tc>
      </w:tr>
      <w:tr>
        <w:trPr>
          <w:trHeight w:val="236"/>
        </w:trPr>
        <w:tc>
          <w:tcPr>
            <w:tcW w:w="2200" w:type="dxa"/>
            <w:vAlign w:val="bottom"/>
            <w:shd w:val="clear" w:color="auto" w:fill="E5E5E5"/>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Mitchell Fadel</w:t>
            </w:r>
            <w:r>
              <w:rPr>
                <w:rFonts w:ascii="Arial" w:cs="Arial" w:eastAsia="Arial" w:hAnsi="Arial"/>
                <w:sz w:val="17"/>
                <w:szCs w:val="17"/>
                <w:color w:val="auto"/>
                <w:vertAlign w:val="superscript"/>
              </w:rPr>
              <w:t>(1)</w:t>
            </w:r>
          </w:p>
        </w:tc>
        <w:tc>
          <w:tcPr>
            <w:tcW w:w="6080" w:type="dxa"/>
            <w:vAlign w:val="bottom"/>
            <w:shd w:val="clear" w:color="auto" w:fill="E5E5E5"/>
          </w:tcPr>
          <w:p>
            <w:pPr>
              <w:ind w:left="280"/>
              <w:spacing w:after="0" w:line="236"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 xml:space="preserve"> Former Chief Executive Officer</w:t>
            </w:r>
          </w:p>
        </w:tc>
        <w:tc>
          <w:tcPr>
            <w:tcW w:w="920" w:type="dxa"/>
            <w:vAlign w:val="bottom"/>
            <w:shd w:val="clear" w:color="auto" w:fill="E5E5E5"/>
          </w:tcPr>
          <w:p>
            <w:pPr>
              <w:ind w:left="800"/>
              <w:spacing w:after="0"/>
              <w:rPr>
                <w:sz w:val="20"/>
                <w:szCs w:val="20"/>
                <w:color w:val="auto"/>
              </w:rPr>
            </w:pPr>
            <w:r>
              <w:rPr>
                <w:rFonts w:ascii="Arial" w:cs="Arial" w:eastAsia="Arial" w:hAnsi="Arial"/>
                <w:sz w:val="15"/>
                <w:szCs w:val="15"/>
                <w:color w:val="auto"/>
              </w:rPr>
              <w:t>​</w:t>
            </w:r>
          </w:p>
        </w:tc>
      </w:tr>
      <w:tr>
        <w:trPr>
          <w:trHeight w:val="212"/>
        </w:trPr>
        <w:tc>
          <w:tcPr>
            <w:tcW w:w="2200" w:type="dxa"/>
            <w:vAlign w:val="bottom"/>
          </w:tcPr>
          <w:p>
            <w:pPr>
              <w:spacing w:after="0" w:line="212" w:lineRule="exact"/>
              <w:rPr>
                <w:sz w:val="20"/>
                <w:szCs w:val="20"/>
                <w:color w:val="auto"/>
              </w:rPr>
            </w:pPr>
            <w:r>
              <w:rPr>
                <w:rFonts w:ascii="Arial" w:cs="Arial" w:eastAsia="Arial" w:hAnsi="Arial"/>
                <w:sz w:val="15"/>
                <w:szCs w:val="15"/>
                <w:color w:val="auto"/>
              </w:rPr>
              <w:t>​ Fahmi Karam</w:t>
            </w:r>
            <w:r>
              <w:rPr>
                <w:rFonts w:ascii="Arial" w:cs="Arial" w:eastAsia="Arial" w:hAnsi="Arial"/>
                <w:sz w:val="19"/>
                <w:szCs w:val="19"/>
                <w:color w:val="auto"/>
                <w:vertAlign w:val="superscript"/>
              </w:rPr>
              <w:t>(2)</w:t>
            </w:r>
          </w:p>
        </w:tc>
        <w:tc>
          <w:tcPr>
            <w:tcW w:w="6080" w:type="dxa"/>
            <w:vAlign w:val="bottom"/>
          </w:tcPr>
          <w:p>
            <w:pPr>
              <w:ind w:left="280"/>
              <w:spacing w:after="0"/>
              <w:rPr>
                <w:sz w:val="20"/>
                <w:szCs w:val="20"/>
                <w:color w:val="auto"/>
              </w:rPr>
            </w:pPr>
            <w:r>
              <w:rPr>
                <w:rFonts w:ascii="Arial" w:cs="Arial" w:eastAsia="Arial" w:hAnsi="Arial"/>
                <w:sz w:val="15"/>
                <w:szCs w:val="15"/>
                <w:color w:val="auto"/>
              </w:rPr>
              <w:t>​ ​ Chief Executive Officer</w:t>
            </w:r>
          </w:p>
        </w:tc>
        <w:tc>
          <w:tcPr>
            <w:tcW w:w="9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03"/>
        </w:trPr>
        <w:tc>
          <w:tcPr>
            <w:tcW w:w="2200" w:type="dxa"/>
            <w:vAlign w:val="bottom"/>
          </w:tcPr>
          <w:p>
            <w:pPr>
              <w:spacing w:after="0"/>
              <w:rPr>
                <w:sz w:val="17"/>
                <w:szCs w:val="17"/>
                <w:color w:val="auto"/>
              </w:rPr>
            </w:pPr>
          </w:p>
        </w:tc>
        <w:tc>
          <w:tcPr>
            <w:tcW w:w="6080" w:type="dxa"/>
            <w:vAlign w:val="bottom"/>
          </w:tcPr>
          <w:p>
            <w:pPr>
              <w:ind w:left="500"/>
              <w:spacing w:after="0"/>
              <w:rPr>
                <w:sz w:val="20"/>
                <w:szCs w:val="20"/>
                <w:color w:val="auto"/>
              </w:rPr>
            </w:pPr>
            <w:r>
              <w:rPr>
                <w:rFonts w:ascii="Arial" w:cs="Arial" w:eastAsia="Arial" w:hAnsi="Arial"/>
                <w:sz w:val="15"/>
                <w:szCs w:val="15"/>
                <w:color w:val="auto"/>
              </w:rPr>
              <w:t>Former Executive Vice President — Chief Financial Officer</w:t>
            </w:r>
          </w:p>
        </w:tc>
        <w:tc>
          <w:tcPr>
            <w:tcW w:w="920" w:type="dxa"/>
            <w:vAlign w:val="bottom"/>
          </w:tcPr>
          <w:p>
            <w:pPr>
              <w:spacing w:after="0"/>
              <w:rPr>
                <w:sz w:val="17"/>
                <w:szCs w:val="17"/>
                <w:color w:val="auto"/>
              </w:rPr>
            </w:pPr>
          </w:p>
        </w:tc>
      </w:tr>
      <w:tr>
        <w:trPr>
          <w:trHeight w:val="246"/>
        </w:trPr>
        <w:tc>
          <w:tcPr>
            <w:tcW w:w="2200" w:type="dxa"/>
            <w:vAlign w:val="bottom"/>
            <w:shd w:val="clear" w:color="auto" w:fill="E5E5E5"/>
          </w:tcPr>
          <w:p>
            <w:pPr>
              <w:spacing w:after="0" w:line="24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Hal Khouri</w:t>
            </w:r>
            <w:r>
              <w:rPr>
                <w:rFonts w:ascii="Arial" w:cs="Arial" w:eastAsia="Arial" w:hAnsi="Arial"/>
                <w:sz w:val="18"/>
                <w:szCs w:val="18"/>
                <w:color w:val="auto"/>
                <w:vertAlign w:val="superscript"/>
              </w:rPr>
              <w:t>(3)</w:t>
            </w:r>
          </w:p>
        </w:tc>
        <w:tc>
          <w:tcPr>
            <w:tcW w:w="6080" w:type="dxa"/>
            <w:vAlign w:val="bottom"/>
            <w:shd w:val="clear" w:color="auto" w:fill="E5E5E5"/>
          </w:tcPr>
          <w:p>
            <w:pPr>
              <w:ind w:left="280"/>
              <w:spacing w:after="0" w:line="246"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Executive Vice President — Chief Financial Officer</w:t>
            </w:r>
          </w:p>
        </w:tc>
        <w:tc>
          <w:tcPr>
            <w:tcW w:w="920" w:type="dxa"/>
            <w:vAlign w:val="bottom"/>
            <w:shd w:val="clear" w:color="auto" w:fill="E5E5E5"/>
          </w:tcPr>
          <w:p>
            <w:pPr>
              <w:ind w:left="800"/>
              <w:spacing w:after="0"/>
              <w:rPr>
                <w:sz w:val="20"/>
                <w:szCs w:val="20"/>
                <w:color w:val="auto"/>
              </w:rPr>
            </w:pPr>
            <w:r>
              <w:rPr>
                <w:rFonts w:ascii="Arial" w:cs="Arial" w:eastAsia="Arial" w:hAnsi="Arial"/>
                <w:sz w:val="15"/>
                <w:szCs w:val="15"/>
                <w:color w:val="auto"/>
              </w:rPr>
              <w:t>​</w:t>
            </w:r>
          </w:p>
        </w:tc>
      </w:tr>
      <w:tr>
        <w:trPr>
          <w:trHeight w:val="229"/>
        </w:trPr>
        <w:tc>
          <w:tcPr>
            <w:tcW w:w="2200" w:type="dxa"/>
            <w:vAlign w:val="bottom"/>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Tyler Montrone</w:t>
            </w:r>
          </w:p>
        </w:tc>
        <w:tc>
          <w:tcPr>
            <w:tcW w:w="6080" w:type="dxa"/>
            <w:vAlign w:val="bottom"/>
          </w:tcPr>
          <w:p>
            <w:pPr>
              <w:ind w:left="28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Executive Vice President — Acima</w:t>
            </w:r>
          </w:p>
        </w:tc>
        <w:tc>
          <w:tcPr>
            <w:tcW w:w="9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30"/>
        </w:trPr>
        <w:tc>
          <w:tcPr>
            <w:tcW w:w="2200" w:type="dxa"/>
            <w:vAlign w:val="bottom"/>
            <w:shd w:val="clear" w:color="auto" w:fill="E5E5E5"/>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Anthony Blasquez</w:t>
            </w:r>
          </w:p>
        </w:tc>
        <w:tc>
          <w:tcPr>
            <w:tcW w:w="6080" w:type="dxa"/>
            <w:vAlign w:val="bottom"/>
            <w:shd w:val="clear" w:color="auto" w:fill="E5E5E5"/>
          </w:tcPr>
          <w:p>
            <w:pPr>
              <w:ind w:left="28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Executive Vice President — Rent-A-Center</w:t>
            </w:r>
          </w:p>
        </w:tc>
        <w:tc>
          <w:tcPr>
            <w:tcW w:w="920" w:type="dxa"/>
            <w:vAlign w:val="bottom"/>
            <w:shd w:val="clear" w:color="auto" w:fill="E5E5E5"/>
          </w:tcPr>
          <w:p>
            <w:pPr>
              <w:ind w:left="800"/>
              <w:spacing w:after="0"/>
              <w:rPr>
                <w:sz w:val="20"/>
                <w:szCs w:val="20"/>
                <w:color w:val="auto"/>
              </w:rPr>
            </w:pPr>
            <w:r>
              <w:rPr>
                <w:rFonts w:ascii="Arial" w:cs="Arial" w:eastAsia="Arial" w:hAnsi="Arial"/>
                <w:sz w:val="15"/>
                <w:szCs w:val="15"/>
                <w:color w:val="auto"/>
              </w:rPr>
              <w:t>​</w:t>
            </w:r>
          </w:p>
        </w:tc>
      </w:tr>
      <w:tr>
        <w:trPr>
          <w:trHeight w:val="229"/>
        </w:trPr>
        <w:tc>
          <w:tcPr>
            <w:tcW w:w="2200" w:type="dxa"/>
            <w:vAlign w:val="bottom"/>
            <w:tcBorders>
              <w:bottom w:val="single" w:sz="8" w:color="auto"/>
            </w:tcBorders>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Bryan Pechersky</w:t>
            </w:r>
          </w:p>
        </w:tc>
        <w:tc>
          <w:tcPr>
            <w:tcW w:w="6080" w:type="dxa"/>
            <w:vAlign w:val="bottom"/>
            <w:tcBorders>
              <w:bottom w:val="single" w:sz="8" w:color="auto"/>
            </w:tcBorders>
          </w:tcPr>
          <w:p>
            <w:pPr>
              <w:ind w:left="28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Executive Vice President — General Counsel and Corporate Secretary</w:t>
            </w: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w:t>
            </w:r>
          </w:p>
        </w:tc>
      </w:tr>
    </w:tbl>
    <w:p>
      <w:pPr>
        <w:spacing w:after="0" w:line="74" w:lineRule="exact"/>
        <w:rPr>
          <w:sz w:val="20"/>
          <w:szCs w:val="20"/>
          <w:color w:val="auto"/>
        </w:rPr>
      </w:pPr>
    </w:p>
    <w:p>
      <w:pPr>
        <w:jc w:val="both"/>
        <w:ind w:left="1120" w:hanging="358"/>
        <w:spacing w:after="0" w:line="275" w:lineRule="auto"/>
        <w:tabs>
          <w:tab w:leader="none" w:pos="11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As previously disclosed, including in the Company’s proxy statement for the 2025 annual meeting of stockholders, Mr. Fadel retired as the Company’s Chief Executive Officer, effective June 1, 2025, which was not due to any disagreement with the Company on any matters relating to the Company’s operations, practices or policies.</w:t>
      </w:r>
    </w:p>
    <w:p>
      <w:pPr>
        <w:ind w:left="1120" w:hanging="358"/>
        <w:spacing w:after="0" w:line="281" w:lineRule="auto"/>
        <w:tabs>
          <w:tab w:leader="none" w:pos="11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Mr. Karam was appointed Chief Executive Officer of the Company, effective June 1, 2025. Prior to that date, he served as Executive Vice President — Chief Financial Officer of the Company.</w:t>
      </w:r>
    </w:p>
    <w:p>
      <w:pPr>
        <w:spacing w:after="0" w:line="1" w:lineRule="exact"/>
        <w:rPr>
          <w:rFonts w:ascii="Arial" w:cs="Arial" w:eastAsia="Arial" w:hAnsi="Arial"/>
          <w:sz w:val="14"/>
          <w:szCs w:val="14"/>
          <w:i w:val="1"/>
          <w:iCs w:val="1"/>
          <w:color w:val="auto"/>
        </w:rPr>
      </w:pPr>
    </w:p>
    <w:p>
      <w:pPr>
        <w:ind w:left="1120" w:hanging="358"/>
        <w:spacing w:after="0"/>
        <w:tabs>
          <w:tab w:leader="none" w:pos="11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Mr. Khouri was appointed Executive Vice President — Chief Financial Officer of the Company, effective November 10, 2025.</w:t>
      </w:r>
    </w:p>
    <w:p>
      <w:pPr>
        <w:spacing w:after="0" w:line="156"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6"/>
          <w:szCs w:val="16"/>
          <w:color w:val="auto"/>
        </w:rPr>
        <w:t>Please read the entirety of this CD&amp;A and remaining compensation sections in this proxy statement for further details regarding the matters summarized below.</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Compensation Program Overview</w:t>
      </w:r>
    </w:p>
    <w:p>
      <w:pPr>
        <w:spacing w:after="0" w:line="162"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Decisions with respect to compensation of our executive officers, including our Chief Executive Officer and other named executive officers, are made by our Compensation Committee, which is comprised solely of independent directors. Our Compensation Committee has identified the primary objectives for our executive compensation program, which guide the decisions it makes with respect to the amount and type of compensation paid to our named executive officers. The objectives of our executive compensation program are to:</w:t>
      </w:r>
    </w:p>
    <w:p>
      <w:pPr>
        <w:spacing w:after="0" w:line="91" w:lineRule="exact"/>
        <w:rPr>
          <w:sz w:val="20"/>
          <w:szCs w:val="20"/>
          <w:color w:val="auto"/>
        </w:rPr>
      </w:pPr>
    </w:p>
    <w:p>
      <w:pPr>
        <w:ind w:left="940" w:hanging="178"/>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attract, retain and motivate senior executives with competitive compensation opportunities;</w:t>
      </w:r>
    </w:p>
    <w:p>
      <w:pPr>
        <w:spacing w:after="0" w:line="140" w:lineRule="exact"/>
        <w:rPr>
          <w:rFonts w:ascii="Arial" w:cs="Arial" w:eastAsia="Arial" w:hAnsi="Arial"/>
          <w:sz w:val="16"/>
          <w:szCs w:val="16"/>
          <w:color w:val="auto"/>
        </w:rPr>
      </w:pPr>
    </w:p>
    <w:p>
      <w:pPr>
        <w:ind w:left="940" w:hanging="178"/>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incentivize our executives to achieve our short-term and long-term strategic goals;</w:t>
      </w:r>
    </w:p>
    <w:p>
      <w:pPr>
        <w:spacing w:after="0" w:line="140" w:lineRule="exact"/>
        <w:rPr>
          <w:rFonts w:ascii="Arial" w:cs="Arial" w:eastAsia="Arial" w:hAnsi="Arial"/>
          <w:sz w:val="16"/>
          <w:szCs w:val="16"/>
          <w:color w:val="auto"/>
        </w:rPr>
      </w:pPr>
    </w:p>
    <w:p>
      <w:pPr>
        <w:ind w:left="940" w:hanging="178"/>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align our executive compensation program with the core values identified in our corporate mission statement;</w:t>
      </w:r>
    </w:p>
    <w:p>
      <w:pPr>
        <w:spacing w:after="0" w:line="140" w:lineRule="exact"/>
        <w:rPr>
          <w:rFonts w:ascii="Arial" w:cs="Arial" w:eastAsia="Arial" w:hAnsi="Arial"/>
          <w:sz w:val="16"/>
          <w:szCs w:val="16"/>
          <w:color w:val="auto"/>
        </w:rPr>
      </w:pPr>
    </w:p>
    <w:p>
      <w:pPr>
        <w:ind w:left="940" w:hanging="178"/>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reward achievement of our financial and non-financial business goals; and</w:t>
      </w:r>
    </w:p>
    <w:p>
      <w:pPr>
        <w:spacing w:after="0" w:line="140" w:lineRule="exact"/>
        <w:rPr>
          <w:rFonts w:ascii="Arial" w:cs="Arial" w:eastAsia="Arial" w:hAnsi="Arial"/>
          <w:sz w:val="16"/>
          <w:szCs w:val="16"/>
          <w:color w:val="auto"/>
        </w:rPr>
      </w:pPr>
    </w:p>
    <w:p>
      <w:pPr>
        <w:ind w:left="940" w:hanging="178"/>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align executive interests with those of our stockholders.</w:t>
      </w:r>
    </w:p>
    <w:p>
      <w:pPr>
        <w:spacing w:after="0" w:line="167"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The executive compensation program consists of a mix of three primary components, described below, which we believe appropriately rewards our executive officers for their overall contribution to company performance, contains a substantial portion of at-risk, performance-based compensation and aligns our executives’ interests with those of our stockholders with the ultimate objective of increasing long-term stockholder value.</w:t>
      </w:r>
    </w:p>
    <w:p>
      <w:pPr>
        <w:spacing w:after="0" w:line="10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The pay ultimately realized is highly variable and dependent primarily on (1) our financial and operational performance, (2) individual executive performance and (3) our multi-year relative TSR performance.</w:t>
      </w:r>
    </w:p>
    <w:p>
      <w:pPr>
        <w:spacing w:after="0" w:line="200" w:lineRule="exact"/>
        <w:rPr>
          <w:sz w:val="20"/>
          <w:szCs w:val="20"/>
          <w:color w:val="auto"/>
        </w:rPr>
      </w:pPr>
    </w:p>
    <w:p>
      <w:pPr>
        <w:spacing w:after="0" w:line="230"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70" w:lineRule="exact"/>
        <w:rPr>
          <w:sz w:val="20"/>
          <w:szCs w:val="20"/>
          <w:color w:val="auto"/>
        </w:rPr>
      </w:pPr>
    </w:p>
    <w:p>
      <w:pPr>
        <w:jc w:val="right"/>
        <w:ind w:right="3820"/>
        <w:spacing w:after="0"/>
        <w:rPr>
          <w:sz w:val="20"/>
          <w:szCs w:val="20"/>
          <w:color w:val="auto"/>
        </w:rPr>
      </w:pPr>
      <w:r>
        <w:rPr>
          <w:rFonts w:ascii="Arial" w:cs="Arial" w:eastAsia="Arial" w:hAnsi="Arial"/>
          <w:sz w:val="16"/>
          <w:szCs w:val="16"/>
          <w:color w:val="auto"/>
        </w:rPr>
        <w:t>The three primary components of our executive compensation program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132080</wp:posOffset>
            </wp:positionV>
            <wp:extent cx="583755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37555" cy="13716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16" w:lineRule="exact"/>
        <w:rPr>
          <w:sz w:val="20"/>
          <w:szCs w:val="20"/>
          <w:color w:val="auto"/>
        </w:rPr>
      </w:pPr>
    </w:p>
    <w:p>
      <w:pPr>
        <w:ind w:left="760"/>
        <w:spacing w:after="0"/>
        <w:rPr>
          <w:sz w:val="20"/>
          <w:szCs w:val="20"/>
          <w:color w:val="auto"/>
        </w:rPr>
      </w:pPr>
      <w:r>
        <w:rPr>
          <w:rFonts w:ascii="Arial" w:cs="Arial" w:eastAsia="Arial" w:hAnsi="Arial"/>
          <w:sz w:val="15"/>
          <w:szCs w:val="15"/>
          <w:b w:val="1"/>
          <w:bCs w:val="1"/>
          <w:u w:val="single" w:color="auto"/>
          <w:color w:val="auto"/>
        </w:rPr>
        <w:t>Component</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Base Salary</w:t>
      </w:r>
    </w:p>
    <w:p>
      <w:pPr>
        <w:spacing w:after="0" w:line="200" w:lineRule="exact"/>
        <w:rPr>
          <w:sz w:val="20"/>
          <w:szCs w:val="20"/>
          <w:color w:val="auto"/>
        </w:rPr>
      </w:pPr>
    </w:p>
    <w:p>
      <w:pPr>
        <w:spacing w:after="0" w:line="397"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Annual Incentive</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60"/>
        <w:spacing w:after="0" w:line="287" w:lineRule="auto"/>
        <w:rPr>
          <w:sz w:val="20"/>
          <w:szCs w:val="20"/>
          <w:color w:val="auto"/>
        </w:rPr>
      </w:pPr>
      <w:r>
        <w:rPr>
          <w:rFonts w:ascii="Arial" w:cs="Arial" w:eastAsia="Arial" w:hAnsi="Arial"/>
          <w:sz w:val="15"/>
          <w:szCs w:val="15"/>
          <w:b w:val="1"/>
          <w:bCs w:val="1"/>
          <w:i w:val="1"/>
          <w:iCs w:val="1"/>
          <w:color w:val="auto"/>
        </w:rPr>
        <w:t>Long-Term Incentive Compensation Opportunity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240" w:type="dxa"/>
            <w:vAlign w:val="bottom"/>
            <w:gridSpan w:val="2"/>
          </w:tcPr>
          <w:p>
            <w:pPr>
              <w:spacing w:after="0"/>
              <w:rPr>
                <w:sz w:val="20"/>
                <w:szCs w:val="20"/>
                <w:color w:val="auto"/>
              </w:rPr>
            </w:pPr>
            <w:r>
              <w:rPr>
                <w:rFonts w:ascii="Arial" w:cs="Arial" w:eastAsia="Arial" w:hAnsi="Arial"/>
                <w:sz w:val="15"/>
                <w:szCs w:val="15"/>
                <w:b w:val="1"/>
                <w:bCs w:val="1"/>
                <w:color w:val="auto"/>
              </w:rPr>
              <w:t>​ ​ Overview</w:t>
            </w:r>
          </w:p>
        </w:tc>
        <w:tc>
          <w:tcPr>
            <w:tcW w:w="60" w:type="dxa"/>
            <w:vAlign w:val="bottom"/>
          </w:tcPr>
          <w:p>
            <w:pPr>
              <w:ind w:left="20"/>
              <w:spacing w:after="0"/>
              <w:rPr>
                <w:sz w:val="20"/>
                <w:szCs w:val="20"/>
                <w:color w:val="auto"/>
              </w:rPr>
            </w:pPr>
            <w:r>
              <w:rPr>
                <w:rFonts w:ascii="Arial" w:cs="Arial" w:eastAsia="Arial" w:hAnsi="Arial"/>
                <w:sz w:val="15"/>
                <w:szCs w:val="15"/>
                <w:b w:val="1"/>
                <w:bCs w:val="1"/>
                <w:color w:val="auto"/>
              </w:rPr>
              <w:t>​</w:t>
            </w:r>
          </w:p>
        </w:tc>
      </w:tr>
      <w:tr>
        <w:trPr>
          <w:trHeight w:val="192"/>
        </w:trPr>
        <w:tc>
          <w:tcPr>
            <w:tcW w:w="220" w:type="dxa"/>
            <w:vAlign w:val="bottom"/>
          </w:tcPr>
          <w:p>
            <w:pPr>
              <w:spacing w:after="0"/>
              <w:rPr>
                <w:sz w:val="20"/>
                <w:szCs w:val="20"/>
                <w:color w:val="auto"/>
              </w:rPr>
            </w:pPr>
            <w:r>
              <w:rPr>
                <w:rFonts w:ascii="Arial" w:cs="Arial" w:eastAsia="Arial" w:hAnsi="Arial"/>
                <w:sz w:val="15"/>
                <w:szCs w:val="15"/>
                <w:color w:val="auto"/>
              </w:rPr>
              <w:t>​ ​</w:t>
            </w:r>
          </w:p>
        </w:tc>
        <w:tc>
          <w:tcPr>
            <w:tcW w:w="70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Competitive base salaries are determined in large part through in-depth comparative analyses of</w:t>
            </w:r>
          </w:p>
        </w:tc>
        <w:tc>
          <w:tcPr>
            <w:tcW w:w="60" w:type="dxa"/>
            <w:vAlign w:val="bottom"/>
          </w:tcPr>
          <w:p>
            <w:pPr>
              <w:ind w:left="20"/>
              <w:spacing w:after="0"/>
              <w:rPr>
                <w:sz w:val="20"/>
                <w:szCs w:val="20"/>
                <w:color w:val="auto"/>
              </w:rPr>
            </w:pPr>
            <w:r>
              <w:rPr>
                <w:rFonts w:ascii="Arial" w:cs="Arial" w:eastAsia="Arial" w:hAnsi="Arial"/>
                <w:sz w:val="15"/>
                <w:szCs w:val="15"/>
                <w:color w:val="auto"/>
              </w:rPr>
              <w:t>​</w:t>
            </w:r>
          </w:p>
        </w:tc>
      </w:tr>
      <w:tr>
        <w:trPr>
          <w:trHeight w:val="189"/>
        </w:trPr>
        <w:tc>
          <w:tcPr>
            <w:tcW w:w="2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5"/>
                <w:szCs w:val="15"/>
                <w:color w:val="auto"/>
              </w:rPr>
              <w:t>comparable positions at companies in our Peer Group and survey data from other similarly situated</w:t>
            </w:r>
          </w:p>
        </w:tc>
        <w:tc>
          <w:tcPr>
            <w:tcW w:w="60" w:type="dxa"/>
            <w:vAlign w:val="bottom"/>
          </w:tcPr>
          <w:p>
            <w:pPr>
              <w:spacing w:after="0"/>
              <w:rPr>
                <w:sz w:val="16"/>
                <w:szCs w:val="16"/>
                <w:color w:val="auto"/>
              </w:rPr>
            </w:pPr>
          </w:p>
        </w:tc>
      </w:tr>
      <w:tr>
        <w:trPr>
          <w:trHeight w:val="189"/>
        </w:trPr>
        <w:tc>
          <w:tcPr>
            <w:tcW w:w="2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5"/>
                <w:szCs w:val="15"/>
                <w:color w:val="auto"/>
              </w:rPr>
              <w:t>public companies in the retail and consumer finance sectors, taking into account the individual’s</w:t>
            </w:r>
          </w:p>
        </w:tc>
        <w:tc>
          <w:tcPr>
            <w:tcW w:w="60" w:type="dxa"/>
            <w:vAlign w:val="bottom"/>
          </w:tcPr>
          <w:p>
            <w:pPr>
              <w:spacing w:after="0"/>
              <w:rPr>
                <w:sz w:val="16"/>
                <w:szCs w:val="16"/>
                <w:color w:val="auto"/>
              </w:rPr>
            </w:pPr>
          </w:p>
        </w:tc>
      </w:tr>
      <w:tr>
        <w:trPr>
          <w:trHeight w:val="189"/>
        </w:trPr>
        <w:tc>
          <w:tcPr>
            <w:tcW w:w="2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5"/>
                <w:szCs w:val="15"/>
                <w:color w:val="auto"/>
              </w:rPr>
              <w:t>experience, responsibilities, competencies and individual performance, in addition to the market data.</w:t>
            </w:r>
          </w:p>
        </w:tc>
        <w:tc>
          <w:tcPr>
            <w:tcW w:w="60" w:type="dxa"/>
            <w:vAlign w:val="bottom"/>
          </w:tcPr>
          <w:p>
            <w:pPr>
              <w:spacing w:after="0"/>
              <w:rPr>
                <w:sz w:val="16"/>
                <w:szCs w:val="16"/>
                <w:color w:val="auto"/>
              </w:rPr>
            </w:pPr>
          </w:p>
        </w:tc>
      </w:tr>
      <w:tr>
        <w:trPr>
          <w:trHeight w:val="203"/>
        </w:trPr>
        <w:tc>
          <w:tcPr>
            <w:tcW w:w="7240" w:type="dxa"/>
            <w:vAlign w:val="bottom"/>
            <w:gridSpan w:val="2"/>
          </w:tcPr>
          <w:p>
            <w:pPr>
              <w:spacing w:after="0"/>
              <w:rPr>
                <w:sz w:val="20"/>
                <w:szCs w:val="20"/>
                <w:color w:val="auto"/>
              </w:rPr>
            </w:pPr>
            <w:r>
              <w:rPr>
                <w:rFonts w:ascii="Arial" w:cs="Arial" w:eastAsia="Arial" w:hAnsi="Arial"/>
                <w:sz w:val="15"/>
                <w:szCs w:val="15"/>
                <w:color w:val="auto"/>
              </w:rPr>
              <w:t>​ ​ Opportunity for an annual cash incentive award to align our executives with annual corporate and</w:t>
            </w:r>
          </w:p>
        </w:tc>
        <w:tc>
          <w:tcPr>
            <w:tcW w:w="60" w:type="dxa"/>
            <w:vAlign w:val="bottom"/>
          </w:tcPr>
          <w:p>
            <w:pPr>
              <w:ind w:left="20"/>
              <w:spacing w:after="0"/>
              <w:rPr>
                <w:sz w:val="20"/>
                <w:szCs w:val="20"/>
                <w:color w:val="auto"/>
              </w:rPr>
            </w:pPr>
            <w:r>
              <w:rPr>
                <w:rFonts w:ascii="Arial" w:cs="Arial" w:eastAsia="Arial" w:hAnsi="Arial"/>
                <w:sz w:val="15"/>
                <w:szCs w:val="15"/>
                <w:color w:val="auto"/>
              </w:rPr>
              <w:t>​</w:t>
            </w:r>
          </w:p>
        </w:tc>
      </w:tr>
      <w:tr>
        <w:trPr>
          <w:trHeight w:val="200"/>
        </w:trPr>
        <w:tc>
          <w:tcPr>
            <w:tcW w:w="2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5"/>
                <w:szCs w:val="15"/>
                <w:color w:val="auto"/>
              </w:rPr>
              <w:t>individual performance achievements. For 2025, the ultimate payout amount was based on</w:t>
            </w:r>
          </w:p>
        </w:tc>
        <w:tc>
          <w:tcPr>
            <w:tcW w:w="60" w:type="dxa"/>
            <w:vAlign w:val="bottom"/>
          </w:tcPr>
          <w:p>
            <w:pPr>
              <w:spacing w:after="0"/>
              <w:rPr>
                <w:sz w:val="17"/>
                <w:szCs w:val="17"/>
                <w:color w:val="auto"/>
              </w:rPr>
            </w:pPr>
          </w:p>
        </w:tc>
      </w:tr>
    </w:tbl>
    <w:p>
      <w:pPr>
        <w:ind w:left="460" w:hanging="238"/>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Consolidated Adjusted EBITDA (50% weighting), (2) Acima segment revenue (25% weighting), and</w:t>
      </w:r>
    </w:p>
    <w:p>
      <w:pPr>
        <w:spacing w:after="0" w:line="16" w:lineRule="exact"/>
        <w:rPr>
          <w:rFonts w:ascii="Arial" w:cs="Arial" w:eastAsia="Arial" w:hAnsi="Arial"/>
          <w:sz w:val="15"/>
          <w:szCs w:val="15"/>
          <w:color w:val="auto"/>
        </w:rPr>
      </w:pPr>
    </w:p>
    <w:p>
      <w:pPr>
        <w:ind w:left="220" w:right="140" w:firstLine="2"/>
        <w:spacing w:after="0" w:line="262" w:lineRule="auto"/>
        <w:tabs>
          <w:tab w:leader="none" w:pos="449"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Rent-A-Center segment revenue (25% weighting). The targeted achievement levels take into account the rigorous goals included in our annual operating budget, which is approved by the Board. Each executive officer’s target annual incentive opportunity takes into account market data from the Peer Group and survey data from other similarly situated public companies in the retail and consumer finance sectors. For purposes of the annual incentive compensation, consolidated Adjusted EBITDA is calculated as net earnings before interest, taxes, stock-based compensation, depreciation and amortization, and the impacts of the annual incentive compensation expense, as adjusted for certain gains and charges we view as extraordinary, unusual or non-recurring in nature or which we believe do not reflect our core business activities (“Adjusted EBITDA”)</w:t>
      </w:r>
    </w:p>
    <w:p>
      <w:pPr>
        <w:spacing w:after="0" w:line="6" w:lineRule="exact"/>
        <w:rPr>
          <w:sz w:val="20"/>
          <w:szCs w:val="20"/>
          <w:color w:val="auto"/>
        </w:rPr>
      </w:pPr>
    </w:p>
    <w:p>
      <w:pPr>
        <w:spacing w:after="0"/>
        <w:tabs>
          <w:tab w:leader="none" w:pos="7240" w:val="left"/>
        </w:tabs>
        <w:rPr>
          <w:sz w:val="20"/>
          <w:szCs w:val="20"/>
          <w:color w:val="auto"/>
        </w:rPr>
      </w:pPr>
      <w:r>
        <w:rPr>
          <w:rFonts w:ascii="Arial" w:cs="Arial" w:eastAsia="Arial" w:hAnsi="Arial"/>
          <w:sz w:val="15"/>
          <w:szCs w:val="15"/>
          <w:color w:val="auto"/>
        </w:rPr>
        <w:t>​ ​ Long-term incentive plan and equity ownership guidelines to align our executives with longer term</w:t>
      </w:r>
      <w:r>
        <w:rPr>
          <w:sz w:val="20"/>
          <w:szCs w:val="20"/>
          <w:color w:val="auto"/>
        </w:rPr>
        <w:tab/>
      </w:r>
      <w:r>
        <w:rPr>
          <w:rFonts w:ascii="Arial" w:cs="Arial" w:eastAsia="Arial" w:hAnsi="Arial"/>
          <w:sz w:val="15"/>
          <w:szCs w:val="15"/>
          <w:color w:val="auto"/>
        </w:rPr>
        <w:t>​</w:t>
      </w:r>
    </w:p>
    <w:p>
      <w:pPr>
        <w:spacing w:after="0" w:line="30" w:lineRule="exact"/>
        <w:rPr>
          <w:sz w:val="20"/>
          <w:szCs w:val="20"/>
          <w:color w:val="auto"/>
        </w:rPr>
      </w:pPr>
    </w:p>
    <w:p>
      <w:pPr>
        <w:ind w:left="220" w:right="100"/>
        <w:spacing w:after="0" w:line="265" w:lineRule="auto"/>
        <w:rPr>
          <w:sz w:val="20"/>
          <w:szCs w:val="20"/>
          <w:color w:val="auto"/>
        </w:rPr>
      </w:pPr>
      <w:r>
        <w:rPr>
          <w:rFonts w:ascii="Arial" w:cs="Arial" w:eastAsia="Arial" w:hAnsi="Arial"/>
          <w:sz w:val="15"/>
          <w:szCs w:val="15"/>
          <w:color w:val="auto"/>
        </w:rPr>
        <w:t>performance achievement and stockholder returns. The long-term incentive awards granted in February 2025 consisted of  (1) time-based restricted stock units (weighted 25%) that vest pro rata over a three-year period and (2) performance-based stock units (weighted 75%) that vest solely based on the satisfaction of our performance based on our three-year TSR compared to the S&amp;P 1500 Specialty Retail Index. This structure emphasizes long-term value creation by tying more than a majority of awards to shareholder value over a three-year period and outperforming other companies in the S&amp;P 1500 Specialty Retail Index. As noted above under “Investor Outreach”, overall feedback from the Company’s investor outreach effort has been supportive of our executive compensation program, including the design of our long-term incentive compensation.</w:t>
      </w:r>
    </w:p>
    <w:p>
      <w:pPr>
        <w:spacing w:after="0" w:line="200" w:lineRule="exact"/>
        <w:rPr>
          <w:sz w:val="20"/>
          <w:szCs w:val="20"/>
          <w:color w:val="auto"/>
        </w:rPr>
      </w:pPr>
    </w:p>
    <w:p>
      <w:pPr>
        <w:sectPr>
          <w:pgSz w:w="11900" w:h="16838" w:orient="portrait"/>
          <w:cols w:equalWidth="0" w:num="2">
            <w:col w:w="2260" w:space="440"/>
            <w:col w:w="7300"/>
          </w:cols>
          <w:pgMar w:left="580" w:top="97" w:right="1319" w:bottom="1440" w:gutter="0" w:footer="0" w:header="0"/>
          <w:type w:val="continuous"/>
        </w:sectPr>
      </w:pP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Program Design and Governance Policies</w:t>
      </w:r>
    </w:p>
    <w:p>
      <w:pPr>
        <w:spacing w:after="0" w:line="162" w:lineRule="exact"/>
        <w:rPr>
          <w:sz w:val="20"/>
          <w:szCs w:val="20"/>
          <w:color w:val="auto"/>
        </w:rPr>
      </w:pPr>
    </w:p>
    <w:p>
      <w:pPr>
        <w:ind w:left="760" w:right="40"/>
        <w:spacing w:after="0" w:line="304" w:lineRule="auto"/>
        <w:rPr>
          <w:sz w:val="20"/>
          <w:szCs w:val="20"/>
          <w:color w:val="auto"/>
        </w:rPr>
      </w:pPr>
      <w:r>
        <w:rPr>
          <w:rFonts w:ascii="Arial" w:cs="Arial" w:eastAsia="Arial" w:hAnsi="Arial"/>
          <w:sz w:val="16"/>
          <w:szCs w:val="16"/>
          <w:color w:val="auto"/>
        </w:rPr>
        <w:t>In addition to our three primary components of executive compensation, our executive compensation program includes other features that we believe are consistent with strong governance practices, including:</w:t>
      </w:r>
    </w:p>
    <w:p>
      <w:pPr>
        <w:sectPr>
          <w:pgSz w:w="11900" w:h="16838" w:orient="portrait"/>
          <w:cols w:equalWidth="0" w:num="1">
            <w:col w:w="10000"/>
          </w:cols>
          <w:pgMar w:left="580" w:top="97" w:right="1319" w:bottom="1440" w:gutter="0" w:footer="0" w:header="0"/>
          <w:type w:val="continuous"/>
        </w:sectPr>
      </w:pP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414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gridSpan w:val="4"/>
            <w:shd w:val="clear" w:color="auto" w:fill="E5E5E5"/>
          </w:tcPr>
          <w:p>
            <w:pPr>
              <w:spacing w:after="0"/>
              <w:rPr>
                <w:sz w:val="20"/>
                <w:szCs w:val="20"/>
                <w:color w:val="auto"/>
              </w:rPr>
            </w:pPr>
            <w:r>
              <w:rPr>
                <w:rFonts w:ascii="Arial" w:cs="Arial" w:eastAsia="Arial" w:hAnsi="Arial"/>
                <w:sz w:val="15"/>
                <w:szCs w:val="15"/>
                <w:b w:val="1"/>
                <w:bCs w:val="1"/>
                <w:color w:val="auto"/>
              </w:rPr>
              <w:t>What We Do</w:t>
            </w:r>
          </w:p>
        </w:tc>
        <w:tc>
          <w:tcPr>
            <w:tcW w:w="4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180" w:type="dxa"/>
            <w:vAlign w:val="bottom"/>
          </w:tcPr>
          <w:p>
            <w:pPr>
              <w:spacing w:after="0" w:line="115" w:lineRule="exact"/>
              <w:rPr>
                <w:sz w:val="20"/>
                <w:szCs w:val="20"/>
                <w:color w:val="auto"/>
              </w:rPr>
            </w:pPr>
            <w:r>
              <w:rPr>
                <w:rFonts w:ascii="Arial" w:cs="Arial" w:eastAsia="Arial" w:hAnsi="Arial"/>
                <w:sz w:val="13"/>
                <w:szCs w:val="13"/>
                <w:color w:val="auto"/>
              </w:rPr>
              <w:t>​ ​</w:t>
            </w:r>
          </w:p>
        </w:tc>
        <w:tc>
          <w:tcPr>
            <w:tcW w:w="140" w:type="dxa"/>
            <w:vAlign w:val="bottom"/>
            <w:vMerge w:val="restart"/>
          </w:tcPr>
          <w:p>
            <w:pPr>
              <w:ind w:left="40"/>
              <w:spacing w:after="0" w:line="165" w:lineRule="exact"/>
              <w:rPr>
                <w:sz w:val="20"/>
                <w:szCs w:val="20"/>
                <w:color w:val="auto"/>
              </w:rPr>
            </w:pPr>
            <w:r>
              <w:rPr>
                <w:rFonts w:ascii="Arial" w:cs="Arial" w:eastAsia="Arial" w:hAnsi="Arial"/>
                <w:sz w:val="15"/>
                <w:szCs w:val="15"/>
                <w:color w:val="auto"/>
              </w:rPr>
              <w:t>•</w:t>
            </w:r>
          </w:p>
        </w:tc>
        <w:tc>
          <w:tcPr>
            <w:tcW w:w="438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Independent Compensation Consultant</w:t>
            </w:r>
            <w:r>
              <w:rPr>
                <w:rFonts w:ascii="Arial" w:cs="Arial" w:eastAsia="Arial" w:hAnsi="Arial"/>
                <w:sz w:val="15"/>
                <w:szCs w:val="15"/>
                <w:color w:val="auto"/>
              </w:rPr>
              <w:t>: Engagement by the</w:t>
            </w:r>
          </w:p>
        </w:tc>
        <w:tc>
          <w:tcPr>
            <w:tcW w:w="0" w:type="dxa"/>
            <w:vAlign w:val="bottom"/>
          </w:tcPr>
          <w:p>
            <w:pPr>
              <w:spacing w:after="0"/>
              <w:rPr>
                <w:sz w:val="1"/>
                <w:szCs w:val="1"/>
                <w:color w:val="auto"/>
              </w:rPr>
            </w:pPr>
          </w:p>
        </w:tc>
      </w:tr>
      <w:tr>
        <w:trPr>
          <w:trHeight w:val="50"/>
        </w:trPr>
        <w:tc>
          <w:tcPr>
            <w:tcW w:w="4140" w:type="dxa"/>
            <w:vAlign w:val="bottom"/>
          </w:tcPr>
          <w:p>
            <w:pPr>
              <w:spacing w:after="0" w:line="51" w:lineRule="exact"/>
              <w:rPr>
                <w:sz w:val="20"/>
                <w:szCs w:val="20"/>
                <w:color w:val="auto"/>
              </w:rPr>
            </w:pPr>
            <w:r>
              <w:rPr>
                <w:rFonts w:ascii="Arial" w:cs="Arial" w:eastAsia="Arial" w:hAnsi="Arial"/>
                <w:sz w:val="5"/>
                <w:szCs w:val="5"/>
                <w:color w:val="auto"/>
              </w:rPr>
              <w:t xml:space="preserve">•   </w:t>
            </w:r>
            <w:r>
              <w:rPr>
                <w:rFonts w:ascii="Arial" w:cs="Arial" w:eastAsia="Arial" w:hAnsi="Arial"/>
                <w:sz w:val="5"/>
                <w:szCs w:val="5"/>
                <w:b w:val="1"/>
                <w:bCs w:val="1"/>
                <w:color w:val="auto"/>
              </w:rPr>
              <w:t>Transparent Compensation Program</w:t>
            </w:r>
            <w:r>
              <w:rPr>
                <w:rFonts w:ascii="Arial" w:cs="Arial" w:eastAsia="Arial" w:hAnsi="Arial"/>
                <w:sz w:val="5"/>
                <w:szCs w:val="5"/>
                <w:color w:val="auto"/>
              </w:rPr>
              <w:t>: Maintain a</w:t>
            </w: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4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300"/>
              <w:spacing w:after="0"/>
              <w:rPr>
                <w:sz w:val="20"/>
                <w:szCs w:val="20"/>
                <w:color w:val="auto"/>
              </w:rPr>
            </w:pPr>
            <w:r>
              <w:rPr>
                <w:rFonts w:ascii="Arial" w:cs="Arial" w:eastAsia="Arial" w:hAnsi="Arial"/>
                <w:sz w:val="15"/>
                <w:szCs w:val="15"/>
                <w:color w:val="auto"/>
              </w:rPr>
              <w:t>transparent executive compensation program that is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gridSpan w:val="2"/>
          </w:tcPr>
          <w:p>
            <w:pPr>
              <w:ind w:left="60"/>
              <w:spacing w:after="0"/>
              <w:rPr>
                <w:sz w:val="20"/>
                <w:szCs w:val="20"/>
                <w:color w:val="auto"/>
              </w:rPr>
            </w:pPr>
            <w:r>
              <w:rPr>
                <w:rFonts w:ascii="Arial" w:cs="Arial" w:eastAsia="Arial" w:hAnsi="Arial"/>
                <w:sz w:val="15"/>
                <w:szCs w:val="15"/>
                <w:color w:val="auto"/>
              </w:rPr>
              <w:t>Compensation Committee of an independent compensation</w:t>
            </w:r>
          </w:p>
        </w:tc>
        <w:tc>
          <w:tcPr>
            <w:tcW w:w="0" w:type="dxa"/>
            <w:vAlign w:val="bottom"/>
          </w:tcPr>
          <w:p>
            <w:pPr>
              <w:spacing w:after="0"/>
              <w:rPr>
                <w:sz w:val="1"/>
                <w:szCs w:val="1"/>
                <w:color w:val="auto"/>
              </w:rPr>
            </w:pPr>
          </w:p>
        </w:tc>
      </w:tr>
      <w:tr>
        <w:trPr>
          <w:trHeight w:val="175"/>
        </w:trPr>
        <w:tc>
          <w:tcPr>
            <w:tcW w:w="4480" w:type="dxa"/>
            <w:vAlign w:val="bottom"/>
            <w:gridSpan w:val="2"/>
          </w:tcPr>
          <w:p>
            <w:pPr>
              <w:ind w:left="300"/>
              <w:spacing w:after="0"/>
              <w:rPr>
                <w:sz w:val="20"/>
                <w:szCs w:val="20"/>
                <w:color w:val="auto"/>
              </w:rPr>
            </w:pPr>
            <w:r>
              <w:rPr>
                <w:rFonts w:ascii="Arial" w:cs="Arial" w:eastAsia="Arial" w:hAnsi="Arial"/>
                <w:sz w:val="15"/>
                <w:szCs w:val="15"/>
                <w:color w:val="auto"/>
              </w:rPr>
              <w:t>understandable both to our stockholders and employees and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gridSpan w:val="2"/>
          </w:tcPr>
          <w:p>
            <w:pPr>
              <w:ind w:left="60"/>
              <w:spacing w:after="0"/>
              <w:rPr>
                <w:sz w:val="20"/>
                <w:szCs w:val="20"/>
                <w:color w:val="auto"/>
              </w:rPr>
            </w:pPr>
            <w:r>
              <w:rPr>
                <w:rFonts w:ascii="Arial" w:cs="Arial" w:eastAsia="Arial" w:hAnsi="Arial"/>
                <w:sz w:val="15"/>
                <w:szCs w:val="15"/>
                <w:color w:val="auto"/>
              </w:rPr>
              <w:t>consultant to conduct a formal evaluation of, and advise the</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line="162" w:lineRule="exact"/>
              <w:rPr>
                <w:sz w:val="20"/>
                <w:szCs w:val="20"/>
                <w:color w:val="auto"/>
              </w:rPr>
            </w:pPr>
            <w:r>
              <w:rPr>
                <w:rFonts w:ascii="Arial" w:cs="Arial" w:eastAsia="Arial" w:hAnsi="Arial"/>
                <w:sz w:val="15"/>
                <w:szCs w:val="15"/>
                <w:color w:val="auto"/>
              </w:rPr>
              <w:t>is not overly complex or subject to constantly changing</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Compensation Committee with respect to, the compensation</w:t>
            </w:r>
          </w:p>
        </w:tc>
        <w:tc>
          <w:tcPr>
            <w:tcW w:w="0" w:type="dxa"/>
            <w:vAlign w:val="bottom"/>
          </w:tcPr>
          <w:p>
            <w:pPr>
              <w:spacing w:after="0"/>
              <w:rPr>
                <w:sz w:val="1"/>
                <w:szCs w:val="1"/>
                <w:color w:val="auto"/>
              </w:rPr>
            </w:pPr>
          </w:p>
        </w:tc>
      </w:tr>
      <w:tr>
        <w:trPr>
          <w:trHeight w:val="176"/>
        </w:trPr>
        <w:tc>
          <w:tcPr>
            <w:tcW w:w="4140" w:type="dxa"/>
            <w:vAlign w:val="bottom"/>
          </w:tcPr>
          <w:p>
            <w:pPr>
              <w:ind w:left="300"/>
              <w:spacing w:after="0"/>
              <w:rPr>
                <w:sz w:val="20"/>
                <w:szCs w:val="20"/>
                <w:color w:val="auto"/>
              </w:rPr>
            </w:pPr>
            <w:r>
              <w:rPr>
                <w:rFonts w:ascii="Arial" w:cs="Arial" w:eastAsia="Arial" w:hAnsi="Arial"/>
                <w:sz w:val="15"/>
                <w:szCs w:val="15"/>
                <w:color w:val="auto"/>
              </w:rPr>
              <w:t>features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gridSpan w:val="2"/>
          </w:tcPr>
          <w:p>
            <w:pPr>
              <w:ind w:left="60"/>
              <w:spacing w:after="0"/>
              <w:rPr>
                <w:sz w:val="20"/>
                <w:szCs w:val="20"/>
                <w:color w:val="auto"/>
              </w:rPr>
            </w:pPr>
            <w:r>
              <w:rPr>
                <w:rFonts w:ascii="Arial" w:cs="Arial" w:eastAsia="Arial" w:hAnsi="Arial"/>
                <w:sz w:val="15"/>
                <w:szCs w:val="15"/>
                <w:color w:val="auto"/>
              </w:rPr>
              <w:t>arrangements for our Chief Executive Officer, as well as provide</w:t>
            </w:r>
          </w:p>
        </w:tc>
        <w:tc>
          <w:tcPr>
            <w:tcW w:w="0" w:type="dxa"/>
            <w:vAlign w:val="bottom"/>
          </w:tcPr>
          <w:p>
            <w:pPr>
              <w:spacing w:after="0"/>
              <w:rPr>
                <w:sz w:val="1"/>
                <w:szCs w:val="1"/>
                <w:color w:val="auto"/>
              </w:rPr>
            </w:pPr>
          </w:p>
        </w:tc>
      </w:tr>
      <w:tr>
        <w:trPr>
          <w:trHeight w:val="175"/>
        </w:trPr>
        <w:tc>
          <w:tcPr>
            <w:tcW w:w="4140" w:type="dxa"/>
            <w:vAlign w:val="bottom"/>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Compensation Aligned with Performance</w:t>
            </w:r>
            <w:r>
              <w:rPr>
                <w:rFonts w:ascii="Arial" w:cs="Arial" w:eastAsia="Arial" w:hAnsi="Arial"/>
                <w:sz w:val="15"/>
                <w:szCs w:val="15"/>
                <w:color w:val="auto"/>
              </w:rPr>
              <w:t>: A</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gridSpan w:val="2"/>
          </w:tcPr>
          <w:p>
            <w:pPr>
              <w:ind w:left="60"/>
              <w:spacing w:after="0"/>
              <w:rPr>
                <w:sz w:val="20"/>
                <w:szCs w:val="20"/>
                <w:color w:val="auto"/>
              </w:rPr>
            </w:pPr>
            <w:r>
              <w:rPr>
                <w:rFonts w:ascii="Arial" w:cs="Arial" w:eastAsia="Arial" w:hAnsi="Arial"/>
                <w:sz w:val="15"/>
                <w:szCs w:val="15"/>
                <w:color w:val="auto"/>
              </w:rPr>
              <w:t>guidance with respect to the compensation of our senior</w:t>
            </w:r>
          </w:p>
        </w:tc>
        <w:tc>
          <w:tcPr>
            <w:tcW w:w="0" w:type="dxa"/>
            <w:vAlign w:val="bottom"/>
          </w:tcPr>
          <w:p>
            <w:pPr>
              <w:spacing w:after="0"/>
              <w:rPr>
                <w:sz w:val="1"/>
                <w:szCs w:val="1"/>
                <w:color w:val="auto"/>
              </w:rPr>
            </w:pPr>
          </w:p>
        </w:tc>
      </w:tr>
      <w:tr>
        <w:trPr>
          <w:trHeight w:val="81"/>
        </w:trPr>
        <w:tc>
          <w:tcPr>
            <w:tcW w:w="41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5"/>
                <w:szCs w:val="15"/>
                <w:color w:val="auto"/>
              </w:rPr>
              <w:t>executives</w:t>
            </w:r>
          </w:p>
        </w:tc>
        <w:tc>
          <w:tcPr>
            <w:tcW w:w="0" w:type="dxa"/>
            <w:vAlign w:val="bottom"/>
          </w:tcPr>
          <w:p>
            <w:pPr>
              <w:spacing w:after="0"/>
              <w:rPr>
                <w:sz w:val="1"/>
                <w:szCs w:val="1"/>
                <w:color w:val="auto"/>
              </w:rPr>
            </w:pPr>
          </w:p>
        </w:tc>
      </w:tr>
      <w:tr>
        <w:trPr>
          <w:trHeight w:val="119"/>
        </w:trPr>
        <w:tc>
          <w:tcPr>
            <w:tcW w:w="4480" w:type="dxa"/>
            <w:vAlign w:val="bottom"/>
            <w:gridSpan w:val="2"/>
            <w:vMerge w:val="restart"/>
          </w:tcPr>
          <w:p>
            <w:pPr>
              <w:ind w:left="300"/>
              <w:spacing w:after="0"/>
              <w:rPr>
                <w:sz w:val="20"/>
                <w:szCs w:val="20"/>
                <w:color w:val="auto"/>
              </w:rPr>
            </w:pPr>
            <w:r>
              <w:rPr>
                <w:rFonts w:ascii="Arial" w:cs="Arial" w:eastAsia="Arial" w:hAnsi="Arial"/>
                <w:sz w:val="15"/>
                <w:szCs w:val="15"/>
                <w:color w:val="auto"/>
              </w:rPr>
              <w:t>substantial percentage of both cash and equity compensation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4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00"/>
              <w:spacing w:after="0"/>
              <w:rPr>
                <w:sz w:val="20"/>
                <w:szCs w:val="20"/>
                <w:color w:val="auto"/>
              </w:rPr>
            </w:pPr>
            <w:r>
              <w:rPr>
                <w:rFonts w:ascii="Arial" w:cs="Arial" w:eastAsia="Arial" w:hAnsi="Arial"/>
                <w:sz w:val="15"/>
                <w:szCs w:val="15"/>
                <w:color w:val="auto"/>
              </w:rPr>
              <w:t>is at-risk and variable based on company performance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rPr>
              <w:t>•</w:t>
            </w:r>
          </w:p>
        </w:tc>
        <w:tc>
          <w:tcPr>
            <w:tcW w:w="4380" w:type="dxa"/>
            <w:vAlign w:val="bottom"/>
            <w:gridSpan w:val="2"/>
          </w:tcPr>
          <w:p>
            <w:pPr>
              <w:ind w:left="60"/>
              <w:spacing w:after="0"/>
              <w:rPr>
                <w:sz w:val="20"/>
                <w:szCs w:val="20"/>
                <w:color w:val="auto"/>
              </w:rPr>
            </w:pPr>
            <w:r>
              <w:rPr>
                <w:rFonts w:ascii="Arial" w:cs="Arial" w:eastAsia="Arial" w:hAnsi="Arial"/>
                <w:sz w:val="15"/>
                <w:szCs w:val="15"/>
                <w:b w:val="1"/>
                <w:bCs w:val="1"/>
                <w:color w:val="auto"/>
              </w:rPr>
              <w:t>Rigorous Target Setting</w:t>
            </w:r>
            <w:r>
              <w:rPr>
                <w:rFonts w:ascii="Arial" w:cs="Arial" w:eastAsia="Arial" w:hAnsi="Arial"/>
                <w:sz w:val="15"/>
                <w:szCs w:val="15"/>
                <w:color w:val="auto"/>
              </w:rPr>
              <w:t>: Rigorous performance targets for our</w:t>
            </w:r>
          </w:p>
        </w:tc>
        <w:tc>
          <w:tcPr>
            <w:tcW w:w="0" w:type="dxa"/>
            <w:vAlign w:val="bottom"/>
          </w:tcPr>
          <w:p>
            <w:pPr>
              <w:spacing w:after="0"/>
              <w:rPr>
                <w:sz w:val="1"/>
                <w:szCs w:val="1"/>
                <w:color w:val="auto"/>
              </w:rPr>
            </w:pPr>
          </w:p>
        </w:tc>
      </w:tr>
      <w:tr>
        <w:trPr>
          <w:trHeight w:val="175"/>
        </w:trPr>
        <w:tc>
          <w:tcPr>
            <w:tcW w:w="4140" w:type="dxa"/>
            <w:vAlign w:val="bottom"/>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Multi-Year Equity Vesting</w:t>
            </w:r>
            <w:r>
              <w:rPr>
                <w:rFonts w:ascii="Arial" w:cs="Arial" w:eastAsia="Arial" w:hAnsi="Arial"/>
                <w:sz w:val="15"/>
                <w:szCs w:val="15"/>
                <w:color w:val="auto"/>
              </w:rPr>
              <w:t>: Three-year full vesting for all</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gridSpan w:val="2"/>
          </w:tcPr>
          <w:p>
            <w:pPr>
              <w:ind w:left="60"/>
              <w:spacing w:after="0"/>
              <w:rPr>
                <w:sz w:val="20"/>
                <w:szCs w:val="20"/>
                <w:color w:val="auto"/>
              </w:rPr>
            </w:pPr>
            <w:r>
              <w:rPr>
                <w:rFonts w:ascii="Arial" w:cs="Arial" w:eastAsia="Arial" w:hAnsi="Arial"/>
                <w:sz w:val="15"/>
                <w:szCs w:val="15"/>
                <w:color w:val="auto"/>
              </w:rPr>
              <w:t>annual cash incentive and long-term incentive compensation</w:t>
            </w:r>
          </w:p>
        </w:tc>
        <w:tc>
          <w:tcPr>
            <w:tcW w:w="0" w:type="dxa"/>
            <w:vAlign w:val="bottom"/>
          </w:tcPr>
          <w:p>
            <w:pPr>
              <w:spacing w:after="0"/>
              <w:rPr>
                <w:sz w:val="1"/>
                <w:szCs w:val="1"/>
                <w:color w:val="auto"/>
              </w:rPr>
            </w:pPr>
          </w:p>
        </w:tc>
      </w:tr>
      <w:tr>
        <w:trPr>
          <w:trHeight w:val="54"/>
        </w:trPr>
        <w:tc>
          <w:tcPr>
            <w:tcW w:w="41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5"/>
                <w:szCs w:val="15"/>
                <w:color w:val="auto"/>
              </w:rPr>
              <w:t>programs</w:t>
            </w:r>
          </w:p>
        </w:tc>
        <w:tc>
          <w:tcPr>
            <w:tcW w:w="0" w:type="dxa"/>
            <w:vAlign w:val="bottom"/>
          </w:tcPr>
          <w:p>
            <w:pPr>
              <w:spacing w:after="0"/>
              <w:rPr>
                <w:sz w:val="1"/>
                <w:szCs w:val="1"/>
                <w:color w:val="auto"/>
              </w:rPr>
            </w:pPr>
          </w:p>
        </w:tc>
      </w:tr>
      <w:tr>
        <w:trPr>
          <w:trHeight w:val="175"/>
        </w:trPr>
        <w:tc>
          <w:tcPr>
            <w:tcW w:w="4480" w:type="dxa"/>
            <w:vAlign w:val="bottom"/>
            <w:gridSpan w:val="2"/>
          </w:tcPr>
          <w:p>
            <w:pPr>
              <w:ind w:left="300"/>
              <w:spacing w:after="0"/>
              <w:rPr>
                <w:sz w:val="20"/>
                <w:szCs w:val="20"/>
                <w:color w:val="auto"/>
              </w:rPr>
            </w:pPr>
            <w:r>
              <w:rPr>
                <w:rFonts w:ascii="Arial" w:cs="Arial" w:eastAsia="Arial" w:hAnsi="Arial"/>
                <w:sz w:val="15"/>
                <w:szCs w:val="15"/>
                <w:color w:val="auto"/>
              </w:rPr>
              <w:t>executive equity awards (restricted stock units vest pro rata</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annually over three years; performance stock units cliff vest</w:t>
            </w:r>
          </w:p>
        </w:tc>
        <w:tc>
          <w:tcPr>
            <w:tcW w:w="18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3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Total Reward Statement Review</w:t>
            </w:r>
            <w:r>
              <w:rPr>
                <w:rFonts w:ascii="Arial" w:cs="Arial" w:eastAsia="Arial" w:hAnsi="Arial"/>
                <w:sz w:val="15"/>
                <w:szCs w:val="15"/>
                <w:color w:val="auto"/>
              </w:rPr>
              <w:t>: Regular review by the</w:t>
            </w:r>
          </w:p>
        </w:tc>
        <w:tc>
          <w:tcPr>
            <w:tcW w:w="0" w:type="dxa"/>
            <w:vAlign w:val="bottom"/>
          </w:tcPr>
          <w:p>
            <w:pPr>
              <w:spacing w:after="0"/>
              <w:rPr>
                <w:sz w:val="1"/>
                <w:szCs w:val="1"/>
                <w:color w:val="auto"/>
              </w:rPr>
            </w:pPr>
          </w:p>
        </w:tc>
      </w:tr>
      <w:tr>
        <w:trPr>
          <w:trHeight w:val="81"/>
        </w:trPr>
        <w:tc>
          <w:tcPr>
            <w:tcW w:w="4140" w:type="dxa"/>
            <w:vAlign w:val="bottom"/>
            <w:vMerge w:val="restart"/>
          </w:tcPr>
          <w:p>
            <w:pPr>
              <w:ind w:left="300"/>
              <w:spacing w:after="0"/>
              <w:rPr>
                <w:sz w:val="20"/>
                <w:szCs w:val="20"/>
                <w:color w:val="auto"/>
              </w:rPr>
            </w:pPr>
            <w:r>
              <w:rPr>
                <w:rFonts w:ascii="Arial" w:cs="Arial" w:eastAsia="Arial" w:hAnsi="Arial"/>
                <w:sz w:val="15"/>
                <w:szCs w:val="15"/>
                <w:color w:val="auto"/>
              </w:rPr>
              <w:t>after three years based on relative TSR performance)</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1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380" w:type="dxa"/>
            <w:vAlign w:val="bottom"/>
            <w:gridSpan w:val="2"/>
            <w:vMerge w:val="restart"/>
          </w:tcPr>
          <w:p>
            <w:pPr>
              <w:ind w:left="60"/>
              <w:spacing w:after="0" w:line="162" w:lineRule="exact"/>
              <w:rPr>
                <w:sz w:val="20"/>
                <w:szCs w:val="20"/>
                <w:color w:val="auto"/>
              </w:rPr>
            </w:pPr>
            <w:r>
              <w:rPr>
                <w:rFonts w:ascii="Arial" w:cs="Arial" w:eastAsia="Arial" w:hAnsi="Arial"/>
                <w:sz w:val="15"/>
                <w:szCs w:val="15"/>
                <w:color w:val="auto"/>
              </w:rPr>
              <w:t>Compensation Committee of total reward statements for the</w:t>
            </w:r>
          </w:p>
        </w:tc>
        <w:tc>
          <w:tcPr>
            <w:tcW w:w="0" w:type="dxa"/>
            <w:vAlign w:val="bottom"/>
          </w:tcPr>
          <w:p>
            <w:pPr>
              <w:spacing w:after="0"/>
              <w:rPr>
                <w:sz w:val="1"/>
                <w:szCs w:val="1"/>
                <w:color w:val="auto"/>
              </w:rPr>
            </w:pPr>
          </w:p>
        </w:tc>
      </w:tr>
      <w:tr>
        <w:trPr>
          <w:trHeight w:val="43"/>
        </w:trPr>
        <w:tc>
          <w:tcPr>
            <w:tcW w:w="4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Annual SOP Vote</w:t>
            </w:r>
            <w:r>
              <w:rPr>
                <w:rFonts w:ascii="Arial" w:cs="Arial" w:eastAsia="Arial" w:hAnsi="Arial"/>
                <w:sz w:val="15"/>
                <w:szCs w:val="15"/>
                <w:color w:val="auto"/>
              </w:rPr>
              <w:t>: Annual say-on-pay stockholder vote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gridSpan w:val="2"/>
          </w:tcPr>
          <w:p>
            <w:pPr>
              <w:ind w:left="60"/>
              <w:spacing w:after="0"/>
              <w:rPr>
                <w:sz w:val="20"/>
                <w:szCs w:val="20"/>
                <w:color w:val="auto"/>
              </w:rPr>
            </w:pPr>
            <w:r>
              <w:rPr>
                <w:rFonts w:ascii="Arial" w:cs="Arial" w:eastAsia="Arial" w:hAnsi="Arial"/>
                <w:sz w:val="15"/>
                <w:szCs w:val="15"/>
                <w:color w:val="auto"/>
              </w:rPr>
              <w:t>Chief Executive Officer and other executives to evaluate cash</w:t>
            </w:r>
          </w:p>
        </w:tc>
        <w:tc>
          <w:tcPr>
            <w:tcW w:w="0" w:type="dxa"/>
            <w:vAlign w:val="bottom"/>
          </w:tcPr>
          <w:p>
            <w:pPr>
              <w:spacing w:after="0"/>
              <w:rPr>
                <w:sz w:val="1"/>
                <w:szCs w:val="1"/>
                <w:color w:val="auto"/>
              </w:rPr>
            </w:pPr>
          </w:p>
        </w:tc>
      </w:tr>
      <w:tr>
        <w:trPr>
          <w:trHeight w:val="185"/>
        </w:trPr>
        <w:tc>
          <w:tcPr>
            <w:tcW w:w="4480" w:type="dxa"/>
            <w:vAlign w:val="bottom"/>
            <w:gridSpan w:val="2"/>
          </w:tcPr>
          <w:p>
            <w:pPr>
              <w:ind w:left="300"/>
              <w:spacing w:after="0"/>
              <w:rPr>
                <w:sz w:val="20"/>
                <w:szCs w:val="20"/>
                <w:color w:val="auto"/>
              </w:rPr>
            </w:pPr>
            <w:r>
              <w:rPr>
                <w:rFonts w:ascii="Arial" w:cs="Arial" w:eastAsia="Arial" w:hAnsi="Arial"/>
                <w:sz w:val="15"/>
                <w:szCs w:val="15"/>
                <w:color w:val="auto"/>
              </w:rPr>
              <w:t>regarding our executive compensation program to receive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gridSpan w:val="2"/>
          </w:tcPr>
          <w:p>
            <w:pPr>
              <w:ind w:left="60"/>
              <w:spacing w:after="0"/>
              <w:rPr>
                <w:sz w:val="20"/>
                <w:szCs w:val="20"/>
                <w:color w:val="auto"/>
              </w:rPr>
            </w:pPr>
            <w:r>
              <w:rPr>
                <w:rFonts w:ascii="Arial" w:cs="Arial" w:eastAsia="Arial" w:hAnsi="Arial"/>
                <w:sz w:val="15"/>
                <w:szCs w:val="15"/>
                <w:color w:val="auto"/>
              </w:rPr>
              <w:t>and equity compensation award payouts over several years</w:t>
            </w:r>
          </w:p>
        </w:tc>
        <w:tc>
          <w:tcPr>
            <w:tcW w:w="0" w:type="dxa"/>
            <w:vAlign w:val="bottom"/>
          </w:tcPr>
          <w:p>
            <w:pPr>
              <w:spacing w:after="0"/>
              <w:rPr>
                <w:sz w:val="1"/>
                <w:szCs w:val="1"/>
                <w:color w:val="auto"/>
              </w:rPr>
            </w:pPr>
          </w:p>
        </w:tc>
      </w:tr>
      <w:tr>
        <w:trPr>
          <w:trHeight w:val="200"/>
        </w:trPr>
        <w:tc>
          <w:tcPr>
            <w:tcW w:w="4140" w:type="dxa"/>
            <w:vAlign w:val="bottom"/>
          </w:tcPr>
          <w:p>
            <w:pPr>
              <w:ind w:left="300"/>
              <w:spacing w:after="0"/>
              <w:rPr>
                <w:sz w:val="20"/>
                <w:szCs w:val="20"/>
                <w:color w:val="auto"/>
              </w:rPr>
            </w:pPr>
            <w:r>
              <w:rPr>
                <w:rFonts w:ascii="Arial" w:cs="Arial" w:eastAsia="Arial" w:hAnsi="Arial"/>
                <w:sz w:val="15"/>
                <w:szCs w:val="15"/>
                <w:color w:val="auto"/>
              </w:rPr>
              <w:t>regular feedback from our investors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3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Ownership Guidelines</w:t>
            </w:r>
            <w:r>
              <w:rPr>
                <w:rFonts w:ascii="Arial" w:cs="Arial" w:eastAsia="Arial" w:hAnsi="Arial"/>
                <w:sz w:val="15"/>
                <w:szCs w:val="15"/>
                <w:color w:val="auto"/>
              </w:rPr>
              <w:t>: Equity ownership guidelines for our</w:t>
            </w:r>
          </w:p>
        </w:tc>
        <w:tc>
          <w:tcPr>
            <w:tcW w:w="0" w:type="dxa"/>
            <w:vAlign w:val="bottom"/>
          </w:tcPr>
          <w:p>
            <w:pPr>
              <w:spacing w:after="0"/>
              <w:rPr>
                <w:sz w:val="1"/>
                <w:szCs w:val="1"/>
                <w:color w:val="auto"/>
              </w:rPr>
            </w:pPr>
          </w:p>
        </w:tc>
      </w:tr>
      <w:tr>
        <w:trPr>
          <w:trHeight w:val="70"/>
        </w:trPr>
        <w:tc>
          <w:tcPr>
            <w:tcW w:w="448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Annual Program Risk Assessment</w:t>
            </w:r>
            <w:r>
              <w:rPr>
                <w:rFonts w:ascii="Arial" w:cs="Arial" w:eastAsia="Arial" w:hAnsi="Arial"/>
                <w:sz w:val="15"/>
                <w:szCs w:val="15"/>
                <w:color w:val="auto"/>
              </w:rPr>
              <w:t>: Our Compensation</w:t>
            </w:r>
          </w:p>
        </w:tc>
        <w:tc>
          <w:tcPr>
            <w:tcW w:w="1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3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directors, Chief Executive Officer, executive vice presidents,</w:t>
            </w:r>
          </w:p>
        </w:tc>
        <w:tc>
          <w:tcPr>
            <w:tcW w:w="0" w:type="dxa"/>
            <w:vAlign w:val="bottom"/>
          </w:tcPr>
          <w:p>
            <w:pPr>
              <w:spacing w:after="0"/>
              <w:rPr>
                <w:sz w:val="1"/>
                <w:szCs w:val="1"/>
                <w:color w:val="auto"/>
              </w:rPr>
            </w:pPr>
          </w:p>
        </w:tc>
      </w:tr>
      <w:tr>
        <w:trPr>
          <w:trHeight w:val="166"/>
        </w:trPr>
        <w:tc>
          <w:tcPr>
            <w:tcW w:w="4140" w:type="dxa"/>
            <w:vAlign w:val="bottom"/>
          </w:tcPr>
          <w:p>
            <w:pPr>
              <w:ind w:left="300"/>
              <w:spacing w:after="0" w:line="166" w:lineRule="exact"/>
              <w:rPr>
                <w:sz w:val="20"/>
                <w:szCs w:val="20"/>
                <w:color w:val="auto"/>
              </w:rPr>
            </w:pPr>
            <w:r>
              <w:rPr>
                <w:rFonts w:ascii="Arial" w:cs="Arial" w:eastAsia="Arial" w:hAnsi="Arial"/>
                <w:sz w:val="15"/>
                <w:szCs w:val="15"/>
                <w:color w:val="auto"/>
              </w:rPr>
              <w:t>Committee performs an annual risk assessment of our</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2"/>
          </w:tcPr>
          <w:p>
            <w:pPr>
              <w:ind w:left="60"/>
              <w:spacing w:after="0" w:line="166" w:lineRule="exact"/>
              <w:rPr>
                <w:sz w:val="20"/>
                <w:szCs w:val="20"/>
                <w:color w:val="auto"/>
              </w:rPr>
            </w:pPr>
            <w:r>
              <w:rPr>
                <w:rFonts w:ascii="Arial" w:cs="Arial" w:eastAsia="Arial" w:hAnsi="Arial"/>
                <w:sz w:val="15"/>
                <w:szCs w:val="15"/>
                <w:color w:val="auto"/>
              </w:rPr>
              <w:t>senior vice presidents and vice presidents</w:t>
            </w:r>
          </w:p>
        </w:tc>
        <w:tc>
          <w:tcPr>
            <w:tcW w:w="0" w:type="dxa"/>
            <w:vAlign w:val="bottom"/>
          </w:tcPr>
          <w:p>
            <w:pPr>
              <w:spacing w:after="0"/>
              <w:rPr>
                <w:sz w:val="1"/>
                <w:szCs w:val="1"/>
                <w:color w:val="auto"/>
              </w:rPr>
            </w:pPr>
          </w:p>
        </w:tc>
      </w:tr>
      <w:tr>
        <w:trPr>
          <w:trHeight w:val="200"/>
        </w:trPr>
        <w:tc>
          <w:tcPr>
            <w:tcW w:w="4140" w:type="dxa"/>
            <w:vAlign w:val="bottom"/>
          </w:tcPr>
          <w:p>
            <w:pPr>
              <w:ind w:left="300"/>
              <w:spacing w:after="0"/>
              <w:rPr>
                <w:sz w:val="20"/>
                <w:szCs w:val="20"/>
                <w:color w:val="auto"/>
              </w:rPr>
            </w:pPr>
            <w:r>
              <w:rPr>
                <w:rFonts w:ascii="Arial" w:cs="Arial" w:eastAsia="Arial" w:hAnsi="Arial"/>
                <w:sz w:val="15"/>
                <w:szCs w:val="15"/>
                <w:color w:val="auto"/>
              </w:rPr>
              <w:t>compensation program</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3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Clawback Policy</w:t>
            </w:r>
            <w:r>
              <w:rPr>
                <w:rFonts w:ascii="Arial" w:cs="Arial" w:eastAsia="Arial" w:hAnsi="Arial"/>
                <w:sz w:val="15"/>
                <w:szCs w:val="15"/>
                <w:color w:val="auto"/>
              </w:rPr>
              <w:t>: Incentive compensation is subject to</w:t>
            </w:r>
          </w:p>
        </w:tc>
        <w:tc>
          <w:tcPr>
            <w:tcW w:w="0" w:type="dxa"/>
            <w:vAlign w:val="bottom"/>
          </w:tcPr>
          <w:p>
            <w:pPr>
              <w:spacing w:after="0"/>
              <w:rPr>
                <w:sz w:val="1"/>
                <w:szCs w:val="1"/>
                <w:color w:val="auto"/>
              </w:rPr>
            </w:pPr>
          </w:p>
        </w:tc>
      </w:tr>
      <w:tr>
        <w:trPr>
          <w:trHeight w:val="120"/>
        </w:trPr>
        <w:tc>
          <w:tcPr>
            <w:tcW w:w="4140" w:type="dxa"/>
            <w:vAlign w:val="bottom"/>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Investor Outreach</w:t>
            </w:r>
            <w:r>
              <w:rPr>
                <w:rFonts w:ascii="Arial" w:cs="Arial" w:eastAsia="Arial" w:hAnsi="Arial"/>
                <w:sz w:val="15"/>
                <w:szCs w:val="15"/>
                <w:color w:val="auto"/>
              </w:rPr>
              <w:t>: Outreach program to our large</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1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80" w:type="dxa"/>
            <w:vAlign w:val="bottom"/>
            <w:gridSpan w:val="2"/>
          </w:tcPr>
          <w:p>
            <w:pPr>
              <w:ind w:left="60"/>
              <w:spacing w:after="0" w:line="153" w:lineRule="exact"/>
              <w:rPr>
                <w:sz w:val="20"/>
                <w:szCs w:val="20"/>
                <w:color w:val="auto"/>
              </w:rPr>
            </w:pPr>
            <w:r>
              <w:rPr>
                <w:rFonts w:ascii="Arial" w:cs="Arial" w:eastAsia="Arial" w:hAnsi="Arial"/>
                <w:sz w:val="15"/>
                <w:szCs w:val="15"/>
                <w:color w:val="auto"/>
              </w:rPr>
              <w:t>clawback, as described further in this proxy statement</w:t>
            </w:r>
          </w:p>
        </w:tc>
        <w:tc>
          <w:tcPr>
            <w:tcW w:w="0" w:type="dxa"/>
            <w:vAlign w:val="bottom"/>
          </w:tcPr>
          <w:p>
            <w:pPr>
              <w:spacing w:after="0"/>
              <w:rPr>
                <w:sz w:val="1"/>
                <w:szCs w:val="1"/>
                <w:color w:val="auto"/>
              </w:rPr>
            </w:pPr>
          </w:p>
        </w:tc>
      </w:tr>
      <w:tr>
        <w:trPr>
          <w:trHeight w:val="145"/>
        </w:trPr>
        <w:tc>
          <w:tcPr>
            <w:tcW w:w="4480" w:type="dxa"/>
            <w:vAlign w:val="bottom"/>
            <w:gridSpan w:val="2"/>
          </w:tcPr>
          <w:p>
            <w:pPr>
              <w:ind w:left="300"/>
              <w:spacing w:after="0" w:line="145" w:lineRule="exact"/>
              <w:rPr>
                <w:sz w:val="20"/>
                <w:szCs w:val="20"/>
                <w:color w:val="auto"/>
              </w:rPr>
            </w:pPr>
            <w:r>
              <w:rPr>
                <w:rFonts w:ascii="Arial" w:cs="Arial" w:eastAsia="Arial" w:hAnsi="Arial"/>
                <w:sz w:val="15"/>
                <w:szCs w:val="15"/>
                <w:color w:val="auto"/>
              </w:rPr>
              <w:t>institutional investors regarding executive compensation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060"/>
        <w:spacing w:after="0"/>
        <w:rPr>
          <w:sz w:val="20"/>
          <w:szCs w:val="20"/>
          <w:color w:val="auto"/>
        </w:rPr>
      </w:pPr>
      <w:r>
        <w:rPr>
          <w:rFonts w:ascii="Arial" w:cs="Arial" w:eastAsia="Arial" w:hAnsi="Arial"/>
          <w:sz w:val="15"/>
          <w:szCs w:val="15"/>
          <w:color w:val="auto"/>
        </w:rPr>
        <w:t>governance-related topics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101" w:lineRule="exact"/>
        <w:rPr>
          <w:sz w:val="20"/>
          <w:szCs w:val="20"/>
          <w:color w:val="auto"/>
        </w:rPr>
      </w:pPr>
    </w:p>
    <w:p>
      <w:pPr>
        <w:sectPr>
          <w:pgSz w:w="11900" w:h="16838" w:orient="portrait"/>
          <w:cols w:equalWidth="0" w:num="2">
            <w:col w:w="9940" w:space="0"/>
            <w:col w:w="60"/>
          </w:cols>
          <w:pgMar w:left="580" w:top="97" w:right="1319" w:bottom="1440" w:gutter="0" w:footer="0" w:header="0"/>
          <w:type w:val="continuous"/>
        </w:sectPr>
      </w:pPr>
    </w:p>
    <w:p>
      <w:pPr>
        <w:spacing w:after="0" w:line="25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3"/>
          <w:szCs w:val="13"/>
          <w:b w:val="1"/>
          <w:bCs w:val="1"/>
          <w:color w:val="auto"/>
        </w:rPr>
        <w:t>30</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113665</wp:posOffset>
            </wp:positionV>
            <wp:extent cx="582930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14541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27"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w:t>
      </w:r>
    </w:p>
    <w:p>
      <w:pPr>
        <w:ind w:left="760"/>
        <w:spacing w:after="0" w:line="180" w:lineRule="auto"/>
        <w:rPr>
          <w:sz w:val="20"/>
          <w:szCs w:val="20"/>
          <w:color w:val="auto"/>
        </w:rPr>
      </w:pPr>
      <w:r>
        <w:rPr>
          <w:rFonts w:ascii="Arial" w:cs="Arial" w:eastAsia="Arial" w:hAnsi="Arial"/>
          <w:sz w:val="10"/>
          <w:szCs w:val="10"/>
          <w:color w:val="auto"/>
        </w:rPr>
        <w:t>​</w:t>
      </w:r>
    </w:p>
    <w:p>
      <w:pPr>
        <w:ind w:left="760"/>
        <w:spacing w:after="0"/>
        <w:rPr>
          <w:sz w:val="20"/>
          <w:szCs w:val="20"/>
          <w:color w:val="auto"/>
        </w:rPr>
      </w:pPr>
      <w:r>
        <w:rPr>
          <w:rFonts w:ascii="Arial" w:cs="Arial" w:eastAsia="Arial" w:hAnsi="Arial"/>
          <w:sz w:val="15"/>
          <w:szCs w:val="15"/>
          <w:color w:val="auto"/>
        </w:rPr>
        <w:t>•</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t>
      </w:r>
    </w:p>
    <w:p>
      <w:pPr>
        <w:ind w:left="760"/>
        <w:spacing w:after="0"/>
        <w:rPr>
          <w:sz w:val="20"/>
          <w:szCs w:val="20"/>
          <w:color w:val="auto"/>
        </w:rPr>
      </w:pPr>
      <w:r>
        <w:rPr>
          <w:rFonts w:ascii="Arial" w:cs="Arial" w:eastAsia="Arial" w:hAnsi="Arial"/>
          <w:sz w:val="15"/>
          <w:szCs w:val="15"/>
          <w:color w:val="auto"/>
        </w:rPr>
        <w:t>•</w:t>
      </w:r>
    </w:p>
    <w:p>
      <w:pPr>
        <w:spacing w:after="0" w:line="38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5"/>
                <w:szCs w:val="15"/>
                <w:b w:val="1"/>
                <w:bCs w:val="1"/>
                <w:color w:val="auto"/>
              </w:rPr>
              <w:t>What We Do Not Do</w:t>
            </w:r>
          </w:p>
        </w:tc>
        <w:tc>
          <w:tcPr>
            <w:tcW w:w="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46"/>
        </w:trPr>
        <w:tc>
          <w:tcPr>
            <w:tcW w:w="4140" w:type="dxa"/>
            <w:vAlign w:val="bottom"/>
            <w:gridSpan w:val="2"/>
          </w:tcPr>
          <w:p>
            <w:pPr>
              <w:spacing w:after="0"/>
              <w:rPr>
                <w:sz w:val="20"/>
                <w:szCs w:val="20"/>
                <w:color w:val="auto"/>
              </w:rPr>
            </w:pPr>
            <w:r>
              <w:rPr>
                <w:rFonts w:ascii="Arial" w:cs="Arial" w:eastAsia="Arial" w:hAnsi="Arial"/>
                <w:sz w:val="15"/>
                <w:szCs w:val="15"/>
                <w:b w:val="1"/>
                <w:bCs w:val="1"/>
                <w:color w:val="auto"/>
              </w:rPr>
              <w:t>No Hedging or Pledging Stock</w:t>
            </w:r>
            <w:r>
              <w:rPr>
                <w:rFonts w:ascii="Arial" w:cs="Arial" w:eastAsia="Arial" w:hAnsi="Arial"/>
                <w:sz w:val="15"/>
                <w:szCs w:val="15"/>
                <w:color w:val="auto"/>
              </w:rPr>
              <w:t>: Insider Trading Policy that</w:t>
            </w:r>
          </w:p>
        </w:tc>
        <w:tc>
          <w:tcPr>
            <w:tcW w:w="360" w:type="dxa"/>
            <w:vAlign w:val="bottom"/>
          </w:tcPr>
          <w:p>
            <w:pPr>
              <w:ind w:left="40"/>
              <w:spacing w:after="0" w:line="246"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w:t>
            </w:r>
          </w:p>
        </w:tc>
        <w:tc>
          <w:tcPr>
            <w:tcW w:w="4360" w:type="dxa"/>
            <w:vAlign w:val="bottom"/>
            <w:gridSpan w:val="2"/>
          </w:tcPr>
          <w:p>
            <w:pPr>
              <w:ind w:left="60"/>
              <w:spacing w:after="0"/>
              <w:rPr>
                <w:sz w:val="20"/>
                <w:szCs w:val="20"/>
                <w:color w:val="auto"/>
              </w:rPr>
            </w:pPr>
            <w:r>
              <w:rPr>
                <w:rFonts w:ascii="Arial" w:cs="Arial" w:eastAsia="Arial" w:hAnsi="Arial"/>
                <w:sz w:val="15"/>
                <w:szCs w:val="15"/>
                <w:b w:val="1"/>
                <w:bCs w:val="1"/>
                <w:color w:val="auto"/>
              </w:rPr>
              <w:t>No Gross-ups</w:t>
            </w:r>
            <w:r>
              <w:rPr>
                <w:rFonts w:ascii="Arial" w:cs="Arial" w:eastAsia="Arial" w:hAnsi="Arial"/>
                <w:sz w:val="15"/>
                <w:szCs w:val="15"/>
                <w:color w:val="auto"/>
              </w:rPr>
              <w:t>: Employee benefits are provided without tax</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spacing w:after="0"/>
              <w:rPr>
                <w:sz w:val="20"/>
                <w:szCs w:val="20"/>
                <w:color w:val="auto"/>
              </w:rPr>
            </w:pPr>
            <w:r>
              <w:rPr>
                <w:rFonts w:ascii="Arial" w:cs="Arial" w:eastAsia="Arial" w:hAnsi="Arial"/>
                <w:sz w:val="15"/>
                <w:szCs w:val="15"/>
                <w:color w:val="auto"/>
              </w:rPr>
              <w:t>prohibits derivative transactions involving our common stock</w:t>
            </w:r>
          </w:p>
        </w:tc>
        <w:tc>
          <w:tcPr>
            <w:tcW w:w="360" w:type="dxa"/>
            <w:vAlign w:val="bottom"/>
          </w:tcPr>
          <w:p>
            <w:pPr>
              <w:spacing w:after="0"/>
              <w:rPr>
                <w:sz w:val="16"/>
                <w:szCs w:val="16"/>
                <w:color w:val="auto"/>
              </w:rPr>
            </w:pPr>
          </w:p>
        </w:tc>
        <w:tc>
          <w:tcPr>
            <w:tcW w:w="4360" w:type="dxa"/>
            <w:vAlign w:val="bottom"/>
            <w:gridSpan w:val="2"/>
          </w:tcPr>
          <w:p>
            <w:pPr>
              <w:ind w:left="60"/>
              <w:spacing w:after="0"/>
              <w:rPr>
                <w:sz w:val="20"/>
                <w:szCs w:val="20"/>
                <w:color w:val="auto"/>
              </w:rPr>
            </w:pPr>
            <w:r>
              <w:rPr>
                <w:rFonts w:ascii="Arial" w:cs="Arial" w:eastAsia="Arial" w:hAnsi="Arial"/>
                <w:sz w:val="15"/>
                <w:szCs w:val="15"/>
                <w:color w:val="auto"/>
              </w:rPr>
              <w:t>gross-ups (other than certain relocation-related expenses)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40" w:type="dxa"/>
            <w:vAlign w:val="bottom"/>
            <w:gridSpan w:val="2"/>
          </w:tcPr>
          <w:p>
            <w:pPr>
              <w:spacing w:after="0"/>
              <w:rPr>
                <w:sz w:val="20"/>
                <w:szCs w:val="20"/>
                <w:color w:val="auto"/>
              </w:rPr>
            </w:pPr>
            <w:r>
              <w:rPr>
                <w:rFonts w:ascii="Arial" w:cs="Arial" w:eastAsia="Arial" w:hAnsi="Arial"/>
                <w:sz w:val="15"/>
                <w:szCs w:val="15"/>
                <w:color w:val="auto"/>
              </w:rPr>
              <w:t>and pledging stock</w:t>
            </w:r>
          </w:p>
        </w:tc>
        <w:tc>
          <w:tcPr>
            <w:tcW w:w="360" w:type="dxa"/>
            <w:vAlign w:val="bottom"/>
            <w:vMerge w:val="restart"/>
          </w:tcPr>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30"/>
                <w:szCs w:val="30"/>
                <w:color w:val="auto"/>
                <w:vertAlign w:val="subscript"/>
              </w:rPr>
              <w:t>•</w:t>
            </w:r>
          </w:p>
        </w:tc>
        <w:tc>
          <w:tcPr>
            <w:tcW w:w="444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No Repricing Options</w:t>
            </w:r>
            <w:r>
              <w:rPr>
                <w:rFonts w:ascii="Arial" w:cs="Arial" w:eastAsia="Arial" w:hAnsi="Arial"/>
                <w:sz w:val="15"/>
                <w:szCs w:val="15"/>
                <w:color w:val="auto"/>
              </w:rPr>
              <w:t>: We do not reprice stock options without</w:t>
            </w:r>
            <w:r>
              <w:rPr>
                <w:rFonts w:ascii="Arial" w:cs="Arial" w:eastAsia="Arial" w:hAnsi="Arial"/>
                <w:sz w:val="30"/>
                <w:szCs w:val="30"/>
                <w:color w:val="auto"/>
                <w:vertAlign w:val="superscript"/>
              </w:rPr>
              <w:t>​</w:t>
            </w:r>
          </w:p>
        </w:tc>
        <w:tc>
          <w:tcPr>
            <w:tcW w:w="0" w:type="dxa"/>
            <w:vAlign w:val="bottom"/>
          </w:tcPr>
          <w:p>
            <w:pPr>
              <w:spacing w:after="0"/>
              <w:rPr>
                <w:sz w:val="1"/>
                <w:szCs w:val="1"/>
                <w:color w:val="auto"/>
              </w:rPr>
            </w:pPr>
          </w:p>
        </w:tc>
      </w:tr>
      <w:tr>
        <w:trPr>
          <w:trHeight w:val="245"/>
        </w:trPr>
        <w:tc>
          <w:tcPr>
            <w:tcW w:w="4140" w:type="dxa"/>
            <w:vAlign w:val="bottom"/>
            <w:gridSpan w:val="2"/>
          </w:tcPr>
          <w:p>
            <w:pPr>
              <w:spacing w:after="0"/>
              <w:rPr>
                <w:sz w:val="20"/>
                <w:szCs w:val="20"/>
                <w:color w:val="auto"/>
              </w:rPr>
            </w:pPr>
            <w:r>
              <w:rPr>
                <w:rFonts w:ascii="Arial" w:cs="Arial" w:eastAsia="Arial" w:hAnsi="Arial"/>
                <w:sz w:val="15"/>
                <w:szCs w:val="15"/>
                <w:b w:val="1"/>
                <w:bCs w:val="1"/>
                <w:color w:val="auto"/>
              </w:rPr>
              <w:t>No Excessive Perquisites</w:t>
            </w:r>
            <w:r>
              <w:rPr>
                <w:rFonts w:ascii="Arial" w:cs="Arial" w:eastAsia="Arial" w:hAnsi="Arial"/>
                <w:sz w:val="15"/>
                <w:szCs w:val="15"/>
                <w:color w:val="auto"/>
              </w:rPr>
              <w:t>: We provide only limited</w:t>
            </w:r>
          </w:p>
        </w:tc>
        <w:tc>
          <w:tcPr>
            <w:tcW w:w="360" w:type="dxa"/>
            <w:vAlign w:val="bottom"/>
            <w:vMerge w:val="continue"/>
          </w:tcPr>
          <w:p>
            <w:pPr>
              <w:spacing w:after="0"/>
              <w:rPr>
                <w:sz w:val="21"/>
                <w:szCs w:val="21"/>
                <w:color w:val="auto"/>
              </w:rPr>
            </w:pPr>
          </w:p>
        </w:tc>
        <w:tc>
          <w:tcPr>
            <w:tcW w:w="4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spacing w:after="0"/>
              <w:rPr>
                <w:sz w:val="20"/>
                <w:szCs w:val="20"/>
                <w:color w:val="auto"/>
              </w:rPr>
            </w:pPr>
            <w:r>
              <w:rPr>
                <w:rFonts w:ascii="Arial" w:cs="Arial" w:eastAsia="Arial" w:hAnsi="Arial"/>
                <w:sz w:val="15"/>
                <w:szCs w:val="15"/>
                <w:color w:val="auto"/>
              </w:rPr>
              <w:t>perquisites, as described in this CD&amp;A</w:t>
            </w:r>
          </w:p>
        </w:tc>
        <w:tc>
          <w:tcPr>
            <w:tcW w:w="360" w:type="dxa"/>
            <w:vAlign w:val="bottom"/>
          </w:tcPr>
          <w:p>
            <w:pPr>
              <w:spacing w:after="0"/>
              <w:rPr>
                <w:sz w:val="16"/>
                <w:szCs w:val="16"/>
                <w:color w:val="auto"/>
              </w:rPr>
            </w:pPr>
          </w:p>
        </w:tc>
        <w:tc>
          <w:tcPr>
            <w:tcW w:w="4360" w:type="dxa"/>
            <w:vAlign w:val="bottom"/>
            <w:gridSpan w:val="2"/>
          </w:tcPr>
          <w:p>
            <w:pPr>
              <w:ind w:left="60"/>
              <w:spacing w:after="0"/>
              <w:rPr>
                <w:sz w:val="20"/>
                <w:szCs w:val="20"/>
                <w:color w:val="auto"/>
              </w:rPr>
            </w:pPr>
            <w:r>
              <w:rPr>
                <w:rFonts w:ascii="Arial" w:cs="Arial" w:eastAsia="Arial" w:hAnsi="Arial"/>
                <w:sz w:val="15"/>
                <w:szCs w:val="15"/>
                <w:color w:val="auto"/>
              </w:rPr>
              <w:t>stockholder approval (and as of 2021, we no longer grant stock</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4360" w:type="dxa"/>
            <w:vAlign w:val="bottom"/>
            <w:gridSpan w:val="2"/>
          </w:tcPr>
          <w:p>
            <w:pPr>
              <w:ind w:left="60"/>
              <w:spacing w:after="0"/>
              <w:rPr>
                <w:sz w:val="20"/>
                <w:szCs w:val="20"/>
                <w:color w:val="auto"/>
              </w:rPr>
            </w:pPr>
            <w:r>
              <w:rPr>
                <w:rFonts w:ascii="Arial" w:cs="Arial" w:eastAsia="Arial" w:hAnsi="Arial"/>
                <w:sz w:val="15"/>
                <w:szCs w:val="15"/>
                <w:color w:val="auto"/>
              </w:rPr>
              <w:t>options)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40" w:type="dxa"/>
            <w:vAlign w:val="bottom"/>
            <w:gridSpan w:val="2"/>
          </w:tcPr>
          <w:p>
            <w:pPr>
              <w:spacing w:after="0"/>
              <w:rPr>
                <w:sz w:val="20"/>
                <w:szCs w:val="20"/>
                <w:color w:val="auto"/>
              </w:rPr>
            </w:pPr>
            <w:r>
              <w:rPr>
                <w:rFonts w:ascii="Arial" w:cs="Arial" w:eastAsia="Arial" w:hAnsi="Arial"/>
                <w:sz w:val="15"/>
                <w:szCs w:val="15"/>
                <w:b w:val="1"/>
                <w:bCs w:val="1"/>
                <w:color w:val="auto"/>
              </w:rPr>
              <w:t>No Dividends Paid on Unvested Equity</w:t>
            </w:r>
            <w:r>
              <w:rPr>
                <w:rFonts w:ascii="Arial" w:cs="Arial" w:eastAsia="Arial" w:hAnsi="Arial"/>
                <w:sz w:val="15"/>
                <w:szCs w:val="15"/>
                <w:color w:val="auto"/>
              </w:rPr>
              <w:t>: No prospective</w:t>
            </w:r>
          </w:p>
        </w:tc>
        <w:tc>
          <w:tcPr>
            <w:tcW w:w="3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40" w:type="dxa"/>
            <w:vAlign w:val="bottom"/>
            <w:gridSpan w:val="2"/>
          </w:tcPr>
          <w:p>
            <w:pPr>
              <w:spacing w:after="0"/>
              <w:rPr>
                <w:sz w:val="20"/>
                <w:szCs w:val="20"/>
                <w:color w:val="auto"/>
              </w:rPr>
            </w:pPr>
            <w:r>
              <w:rPr>
                <w:rFonts w:ascii="Arial" w:cs="Arial" w:eastAsia="Arial" w:hAnsi="Arial"/>
                <w:sz w:val="15"/>
                <w:szCs w:val="15"/>
                <w:color w:val="auto"/>
              </w:rPr>
              <w:t>payment of dividends on unvested equity awards</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0" w:space="240"/>
            <w:col w:w="8940"/>
          </w:cols>
          <w:pgMar w:left="580" w:top="97" w:right="1319" w:bottom="1440" w:gutter="0" w:footer="0" w:header="0"/>
          <w:type w:val="continuous"/>
        </w:sectPr>
      </w:pP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2025 Company Performance Highlights</w:t>
      </w:r>
    </w:p>
    <w:p>
      <w:pPr>
        <w:spacing w:after="0" w:line="162" w:lineRule="exact"/>
        <w:rPr>
          <w:sz w:val="20"/>
          <w:szCs w:val="20"/>
          <w:color w:val="auto"/>
        </w:rPr>
      </w:pPr>
    </w:p>
    <w:p>
      <w:pPr>
        <w:jc w:val="both"/>
        <w:ind w:left="760" w:right="40"/>
        <w:spacing w:after="0" w:line="266" w:lineRule="auto"/>
        <w:rPr>
          <w:sz w:val="20"/>
          <w:szCs w:val="20"/>
          <w:color w:val="auto"/>
        </w:rPr>
      </w:pPr>
      <w:r>
        <w:rPr>
          <w:rFonts w:ascii="Arial" w:cs="Arial" w:eastAsia="Arial" w:hAnsi="Arial"/>
          <w:sz w:val="16"/>
          <w:szCs w:val="16"/>
          <w:color w:val="auto"/>
        </w:rPr>
        <w:t>As described further in our year-end 2025 earnings announcement and in “Management’s Discussion and Analysis of Financial Condition and Results of Operations” in our 2025 Form 10-K, highlights of our 2025 results and significant accomplishments are described below:</w:t>
      </w:r>
    </w:p>
    <w:p>
      <w:pPr>
        <w:spacing w:after="0" w:line="63" w:lineRule="exact"/>
        <w:rPr>
          <w:sz w:val="20"/>
          <w:szCs w:val="20"/>
          <w:color w:val="auto"/>
        </w:rPr>
      </w:pPr>
    </w:p>
    <w:p>
      <w:pPr>
        <w:ind w:left="940" w:right="40" w:hanging="178"/>
        <w:spacing w:after="0" w:line="286" w:lineRule="auto"/>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 the Upbound enterprise level, we completed the acquisition of Brigit on January 31, 2025, expanding our platform to include a subscription-based financial health technology offering.</w:t>
      </w:r>
    </w:p>
    <w:p>
      <w:pPr>
        <w:spacing w:after="0" w:line="30" w:lineRule="exact"/>
        <w:rPr>
          <w:rFonts w:ascii="Arial" w:cs="Arial" w:eastAsia="Arial" w:hAnsi="Arial"/>
          <w:sz w:val="16"/>
          <w:szCs w:val="16"/>
          <w:color w:val="auto"/>
        </w:rPr>
      </w:pPr>
    </w:p>
    <w:p>
      <w:pPr>
        <w:ind w:left="940" w:hanging="178"/>
        <w:spacing w:after="0"/>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Acima Leasing segment achieved 8.6% Y/Y GMV</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and 11.1% Y/Y revenue growth.</w:t>
      </w:r>
    </w:p>
    <w:p>
      <w:pPr>
        <w:spacing w:after="0" w:line="53" w:lineRule="exact"/>
        <w:rPr>
          <w:rFonts w:ascii="Arial" w:cs="Arial" w:eastAsia="Arial" w:hAnsi="Arial"/>
          <w:sz w:val="16"/>
          <w:szCs w:val="16"/>
          <w:color w:val="auto"/>
        </w:rPr>
      </w:pPr>
    </w:p>
    <w:p>
      <w:pPr>
        <w:ind w:left="940" w:hanging="178"/>
        <w:spacing w:after="0"/>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Brigit segment had total revenue of  $206 million with 1.6 million paying subscribers at year-end.</w:t>
      </w:r>
    </w:p>
    <w:p>
      <w:pPr>
        <w:spacing w:after="0" w:line="82" w:lineRule="exact"/>
        <w:rPr>
          <w:rFonts w:ascii="Arial" w:cs="Arial" w:eastAsia="Arial" w:hAnsi="Arial"/>
          <w:sz w:val="16"/>
          <w:szCs w:val="16"/>
          <w:color w:val="auto"/>
        </w:rPr>
      </w:pPr>
    </w:p>
    <w:p>
      <w:pPr>
        <w:ind w:left="940" w:right="40" w:hanging="178"/>
        <w:spacing w:after="0" w:line="234" w:lineRule="auto"/>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Rent-A-Center segment experienced a 2.2% Y/Y decline in Same Store Sales</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and 4.2% Y/Y revenue decline to $1.9 billion.</w:t>
      </w:r>
    </w:p>
    <w:p>
      <w:pPr>
        <w:spacing w:after="0" w:line="84" w:lineRule="exact"/>
        <w:rPr>
          <w:rFonts w:ascii="Arial" w:cs="Arial" w:eastAsia="Arial" w:hAnsi="Arial"/>
          <w:sz w:val="16"/>
          <w:szCs w:val="16"/>
          <w:color w:val="auto"/>
        </w:rPr>
      </w:pPr>
    </w:p>
    <w:p>
      <w:pPr>
        <w:ind w:left="940" w:hanging="178"/>
        <w:spacing w:after="0"/>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achieved strong financial results for the year ended December 31, 2025, as demonstrated by:</w:t>
      </w:r>
    </w:p>
    <w:p>
      <w:pPr>
        <w:spacing w:after="0" w:line="126" w:lineRule="exact"/>
        <w:rPr>
          <w:rFonts w:ascii="Arial" w:cs="Arial" w:eastAsia="Arial" w:hAnsi="Arial"/>
          <w:sz w:val="16"/>
          <w:szCs w:val="16"/>
          <w:color w:val="auto"/>
        </w:rPr>
      </w:pPr>
    </w:p>
    <w:p>
      <w:pPr>
        <w:ind w:left="1300" w:hanging="178"/>
        <w:spacing w:after="0"/>
        <w:tabs>
          <w:tab w:leader="none" w:pos="130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$4.7 billion in consolidated revenue, an 8.7% Y/Y increase</w:t>
      </w:r>
    </w:p>
    <w:p>
      <w:pPr>
        <w:spacing w:after="0" w:line="112" w:lineRule="exact"/>
        <w:rPr>
          <w:rFonts w:ascii="Times New Roman" w:cs="Times New Roman" w:eastAsia="Times New Roman" w:hAnsi="Times New Roman"/>
          <w:sz w:val="16"/>
          <w:szCs w:val="16"/>
          <w:color w:val="auto"/>
        </w:rPr>
      </w:pPr>
    </w:p>
    <w:p>
      <w:pPr>
        <w:ind w:left="1300" w:hanging="178"/>
        <w:spacing w:after="0"/>
        <w:tabs>
          <w:tab w:leader="none" w:pos="130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$73.2 million in net income, compared to $123.5 million in 2024</w:t>
      </w:r>
    </w:p>
    <w:p>
      <w:pPr>
        <w:spacing w:after="0" w:line="81" w:lineRule="exact"/>
        <w:rPr>
          <w:rFonts w:ascii="Times New Roman" w:cs="Times New Roman" w:eastAsia="Times New Roman" w:hAnsi="Times New Roman"/>
          <w:sz w:val="16"/>
          <w:szCs w:val="16"/>
          <w:color w:val="auto"/>
        </w:rPr>
      </w:pPr>
    </w:p>
    <w:p>
      <w:pPr>
        <w:ind w:left="1300" w:hanging="178"/>
        <w:spacing w:after="0"/>
        <w:tabs>
          <w:tab w:leader="none" w:pos="130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$508.8 million in Adjusted EBITDA</w:t>
      </w:r>
      <w:r>
        <w:rPr>
          <w:rFonts w:ascii="Arial" w:cs="Arial" w:eastAsia="Arial" w:hAnsi="Arial"/>
          <w:sz w:val="25"/>
          <w:szCs w:val="25"/>
          <w:color w:val="auto"/>
          <w:vertAlign w:val="superscript"/>
        </w:rPr>
        <w:t>(3)</w:t>
      </w:r>
      <w:r>
        <w:rPr>
          <w:rFonts w:ascii="Arial" w:cs="Arial" w:eastAsia="Arial" w:hAnsi="Arial"/>
          <w:sz w:val="16"/>
          <w:szCs w:val="16"/>
          <w:color w:val="auto"/>
        </w:rPr>
        <w:t>, a 7.5% Y/Y increase</w:t>
      </w:r>
    </w:p>
    <w:p>
      <w:pPr>
        <w:spacing w:after="0" w:line="67" w:lineRule="exact"/>
        <w:rPr>
          <w:rFonts w:ascii="Times New Roman" w:cs="Times New Roman" w:eastAsia="Times New Roman" w:hAnsi="Times New Roman"/>
          <w:sz w:val="16"/>
          <w:szCs w:val="16"/>
          <w:color w:val="auto"/>
        </w:rPr>
      </w:pPr>
    </w:p>
    <w:p>
      <w:pPr>
        <w:ind w:left="1300" w:hanging="178"/>
        <w:spacing w:after="0"/>
        <w:tabs>
          <w:tab w:leader="none" w:pos="130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$1.25 GAAP Diluted EPS, compared to $2.21 in 2024</w:t>
      </w:r>
    </w:p>
    <w:p>
      <w:pPr>
        <w:spacing w:after="0" w:line="81" w:lineRule="exact"/>
        <w:rPr>
          <w:rFonts w:ascii="Times New Roman" w:cs="Times New Roman" w:eastAsia="Times New Roman" w:hAnsi="Times New Roman"/>
          <w:sz w:val="16"/>
          <w:szCs w:val="16"/>
          <w:color w:val="auto"/>
        </w:rPr>
      </w:pPr>
    </w:p>
    <w:p>
      <w:pPr>
        <w:ind w:left="1300" w:hanging="178"/>
        <w:spacing w:after="0"/>
        <w:tabs>
          <w:tab w:leader="none" w:pos="130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$4.13 Non-GAAP Diluted EPS</w:t>
      </w:r>
      <w:r>
        <w:rPr>
          <w:rFonts w:ascii="Arial" w:cs="Arial" w:eastAsia="Arial" w:hAnsi="Arial"/>
          <w:sz w:val="25"/>
          <w:szCs w:val="25"/>
          <w:color w:val="auto"/>
          <w:vertAlign w:val="superscript"/>
        </w:rPr>
        <w:t>(3)</w:t>
      </w:r>
      <w:r>
        <w:rPr>
          <w:rFonts w:ascii="Arial" w:cs="Arial" w:eastAsia="Arial" w:hAnsi="Arial"/>
          <w:sz w:val="16"/>
          <w:szCs w:val="16"/>
          <w:color w:val="auto"/>
        </w:rPr>
        <w:t>, compared to $3.83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77470</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6" w:lineRule="exact"/>
        <w:rPr>
          <w:sz w:val="20"/>
          <w:szCs w:val="20"/>
          <w:color w:val="auto"/>
        </w:rPr>
      </w:pPr>
    </w:p>
    <w:p>
      <w:pPr>
        <w:ind w:left="1120" w:right="40" w:hanging="358"/>
        <w:spacing w:after="0" w:line="280" w:lineRule="auto"/>
        <w:tabs>
          <w:tab w:leader="none" w:pos="11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Gross Merchandise Volume (GMV) is defined as the retail value in U.S. dollars of merchandise acquired by the Acima segment that is leased to customers through a transaction that occurs within a defined period, net of estimated cancelations as of the measurement date.</w:t>
      </w:r>
    </w:p>
    <w:p>
      <w:pPr>
        <w:jc w:val="both"/>
        <w:ind w:left="1120" w:right="40" w:hanging="358"/>
        <w:spacing w:after="0" w:line="266" w:lineRule="auto"/>
        <w:tabs>
          <w:tab w:leader="none" w:pos="11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Same store sales generally represents revenue earned in Rent-A-Center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1" w:lineRule="exact"/>
        <w:rPr>
          <w:rFonts w:ascii="Arial" w:cs="Arial" w:eastAsia="Arial" w:hAnsi="Arial"/>
          <w:sz w:val="14"/>
          <w:szCs w:val="14"/>
          <w:i w:val="1"/>
          <w:iCs w:val="1"/>
          <w:color w:val="auto"/>
        </w:rPr>
      </w:pPr>
    </w:p>
    <w:p>
      <w:pPr>
        <w:ind w:left="1120" w:right="40" w:hanging="358"/>
        <w:spacing w:after="0" w:line="284" w:lineRule="auto"/>
        <w:tabs>
          <w:tab w:leader="none" w:pos="11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Non-GAAP financial measure. See </w:t>
      </w:r>
      <w:r>
        <w:rPr>
          <w:rFonts w:ascii="Arial" w:cs="Arial" w:eastAsia="Arial" w:hAnsi="Arial"/>
          <w:sz w:val="14"/>
          <w:szCs w:val="14"/>
          <w:i w:val="1"/>
          <w:iCs w:val="1"/>
          <w:u w:val="single" w:color="auto"/>
          <w:color w:val="auto"/>
        </w:rPr>
        <w:t>Annex A</w:t>
      </w:r>
      <w:r>
        <w:rPr>
          <w:rFonts w:ascii="Arial" w:cs="Arial" w:eastAsia="Arial" w:hAnsi="Arial"/>
          <w:sz w:val="14"/>
          <w:szCs w:val="14"/>
          <w:i w:val="1"/>
          <w:iCs w:val="1"/>
          <w:color w:val="auto"/>
        </w:rPr>
        <w:t xml:space="preserve"> for additional information regarding non-GAAP financial measures and reconciliations of non-GAAP financial measures to their most directly comparable GAAP financial measure.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2025 Executive Compensation Highlights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Highlights of our 2025 executive compensation program are discussed below:</w:t>
      </w:r>
    </w:p>
    <w:p>
      <w:pPr>
        <w:spacing w:after="0" w:line="113" w:lineRule="exact"/>
        <w:rPr>
          <w:sz w:val="20"/>
          <w:szCs w:val="20"/>
          <w:color w:val="auto"/>
        </w:rPr>
      </w:pPr>
    </w:p>
    <w:p>
      <w:pPr>
        <w:jc w:val="both"/>
        <w:ind w:left="940" w:right="40" w:hanging="178"/>
        <w:spacing w:after="0" w:line="269" w:lineRule="auto"/>
        <w:tabs>
          <w:tab w:leader="none" w:pos="9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Continued High Percentage of At-Risk, Variable Performance-Based Compensation</w:t>
      </w:r>
      <w:r>
        <w:rPr>
          <w:rFonts w:ascii="Arial" w:cs="Arial" w:eastAsia="Arial" w:hAnsi="Arial"/>
          <w:sz w:val="16"/>
          <w:szCs w:val="16"/>
          <w:color w:val="auto"/>
        </w:rPr>
        <w:t>: Target total direct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target annual incentive compensation and target long-term incentive compensation) for Mr. Karam, our Chief Executive Officer, was 85% at-risk (performance-based) for the year ended December 31, 2025. This represents Mr. Karam’s target annual incentive compensation and target long-term incentive compensation as a percentage of his total target direct compensation.</w:t>
      </w:r>
    </w:p>
    <w:p>
      <w:pPr>
        <w:spacing w:after="0" w:line="75" w:lineRule="exact"/>
        <w:rPr>
          <w:rFonts w:ascii="Arial" w:cs="Arial" w:eastAsia="Arial" w:hAnsi="Arial"/>
          <w:sz w:val="16"/>
          <w:szCs w:val="16"/>
          <w:color w:val="auto"/>
        </w:rPr>
      </w:pPr>
    </w:p>
    <w:p>
      <w:pPr>
        <w:jc w:val="both"/>
        <w:ind w:left="940" w:right="40" w:hanging="178"/>
        <w:spacing w:after="0" w:line="275" w:lineRule="auto"/>
        <w:tabs>
          <w:tab w:leader="none" w:pos="9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Maintained Rigorous Annual Incentive Award Targets</w:t>
      </w:r>
      <w:r>
        <w:rPr>
          <w:rFonts w:ascii="Arial" w:cs="Arial" w:eastAsia="Arial" w:hAnsi="Arial"/>
          <w:sz w:val="16"/>
          <w:szCs w:val="16"/>
          <w:color w:val="auto"/>
        </w:rPr>
        <w:t>: In establishing the 2025 annual cash incentive plan targets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metric, the Compensation Committee considered sensitivities to the key business drivers of Adjusted EBITDA, Acima segment revenue, and Rent-A-Center segment revenue to establish rigorous threshold, target and maximum performance levels.</w:t>
      </w:r>
    </w:p>
    <w:p>
      <w:pPr>
        <w:spacing w:after="0" w:line="258" w:lineRule="exact"/>
        <w:rPr>
          <w:rFonts w:ascii="Arial" w:cs="Arial" w:eastAsia="Arial" w:hAnsi="Arial"/>
          <w:sz w:val="16"/>
          <w:szCs w:val="16"/>
          <w:color w:val="auto"/>
        </w:rPr>
      </w:pPr>
    </w:p>
    <w:p>
      <w:pPr>
        <w:jc w:val="both"/>
        <w:ind w:left="940" w:right="40" w:hanging="178"/>
        <w:spacing w:after="0" w:line="275" w:lineRule="auto"/>
        <w:tabs>
          <w:tab w:leader="none" w:pos="9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Annual Financial Performance Resulted in 74% Bonus Plan Payouts</w:t>
      </w:r>
      <w:r>
        <w:rPr>
          <w:rFonts w:ascii="Arial" w:cs="Arial" w:eastAsia="Arial" w:hAnsi="Arial"/>
          <w:sz w:val="16"/>
          <w:szCs w:val="16"/>
          <w:color w:val="auto"/>
        </w:rPr>
        <w:t>: As a result of our Company’s annual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in 2025, for our 2025 bonus plan metrics, the Compensation Committee approved a 74% payout to our executives.</w:t>
      </w:r>
    </w:p>
    <w:p>
      <w:pPr>
        <w:sectPr>
          <w:pgSz w:w="11900" w:h="16838" w:orient="portrait"/>
          <w:cols w:equalWidth="0" w:num="1">
            <w:col w:w="10000"/>
          </w:cols>
          <w:pgMar w:left="580" w:top="97" w:right="13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70" w:lineRule="exact"/>
        <w:rPr>
          <w:sz w:val="20"/>
          <w:szCs w:val="20"/>
          <w:color w:val="auto"/>
        </w:rPr>
      </w:pPr>
    </w:p>
    <w:p>
      <w:pPr>
        <w:jc w:val="both"/>
        <w:ind w:left="940" w:hanging="178"/>
        <w:spacing w:after="0" w:line="275" w:lineRule="auto"/>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Majority Weighting of Performance Stock Units in Long-Term Incentive Program: </w:t>
      </w:r>
      <w:r>
        <w:rPr>
          <w:rFonts w:ascii="Arial" w:cs="Arial" w:eastAsia="Arial" w:hAnsi="Arial"/>
          <w:sz w:val="16"/>
          <w:szCs w:val="16"/>
          <w:color w:val="auto"/>
        </w:rPr>
        <w:t>In 2025,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continued to include substantial weighting to the Company’s relative TSR performance under the long-term incentive program by maintaining the performance stock unit weighting of 75% and the time-vested restricted stock units weighting of 25%.</w:t>
      </w:r>
    </w:p>
    <w:p>
      <w:pPr>
        <w:spacing w:after="0" w:line="258" w:lineRule="exact"/>
        <w:rPr>
          <w:rFonts w:ascii="Arial" w:cs="Arial" w:eastAsia="Arial" w:hAnsi="Arial"/>
          <w:sz w:val="16"/>
          <w:szCs w:val="16"/>
          <w:color w:val="auto"/>
        </w:rPr>
      </w:pPr>
    </w:p>
    <w:p>
      <w:pPr>
        <w:jc w:val="both"/>
        <w:ind w:left="940" w:hanging="178"/>
        <w:spacing w:after="0" w:line="271" w:lineRule="auto"/>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Three-Year Stock Price Performance Resulted in 50% Vesting of 2023 Performance-Based Stock Units</w:t>
      </w:r>
      <w:r>
        <w:rPr>
          <w:rFonts w:ascii="Arial" w:cs="Arial" w:eastAsia="Arial" w:hAnsi="Arial"/>
          <w:sz w:val="16"/>
          <w:szCs w:val="16"/>
          <w:color w:val="auto"/>
        </w:rPr>
        <w:t>: Our relative</w:t>
      </w:r>
      <w:r>
        <w:rPr>
          <w:rFonts w:ascii="Arial" w:cs="Arial" w:eastAsia="Arial" w:hAnsi="Arial"/>
          <w:sz w:val="16"/>
          <w:szCs w:val="16"/>
          <w:b w:val="1"/>
          <w:bCs w:val="1"/>
          <w:color w:val="auto"/>
        </w:rPr>
        <w:t xml:space="preserve"> </w:t>
      </w:r>
      <w:r>
        <w:rPr>
          <w:rFonts w:ascii="Arial" w:cs="Arial" w:eastAsia="Arial" w:hAnsi="Arial"/>
          <w:sz w:val="16"/>
          <w:szCs w:val="16"/>
          <w:color w:val="auto"/>
        </w:rPr>
        <w:t>TSR performance as compared to the S&amp;P 1500 Specialty Retail Index for the three-year period ended December 31, 2025, ranked us 33 out of 49 companies in the S&amp;P 1500 Specialty Retail Index, which resulted in the vesting of 50% of the performance-based stock units that were granted in 2023.</w:t>
      </w:r>
    </w:p>
    <w:p>
      <w:pPr>
        <w:spacing w:after="0" w:line="73" w:lineRule="exact"/>
        <w:rPr>
          <w:rFonts w:ascii="Arial" w:cs="Arial" w:eastAsia="Arial" w:hAnsi="Arial"/>
          <w:sz w:val="16"/>
          <w:szCs w:val="16"/>
          <w:color w:val="auto"/>
        </w:rPr>
      </w:pPr>
    </w:p>
    <w:p>
      <w:pPr>
        <w:jc w:val="both"/>
        <w:ind w:left="940" w:hanging="178"/>
        <w:spacing w:after="0" w:line="269" w:lineRule="auto"/>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Strong Stockholder Say-on-Pay Approval</w:t>
      </w:r>
      <w:r>
        <w:rPr>
          <w:rFonts w:ascii="Arial" w:cs="Arial" w:eastAsia="Arial" w:hAnsi="Arial"/>
          <w:sz w:val="16"/>
          <w:szCs w:val="16"/>
          <w:color w:val="auto"/>
        </w:rPr>
        <w:t>: In June 2025, we held a stockholder advisory vote on the compensation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named executive officers, referred to as a say-on-pay vote. Our stockholders approved the compensation of our named executive officers, with approximately 98% of the shares of common stock present and entitled to vote thereon cast in favor of our proposal, which our Compensation Committee believed conveyed a general endorsement of our executive compensation program and related compensation actions.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Severance Arrangements</w:t>
      </w:r>
    </w:p>
    <w:p>
      <w:pPr>
        <w:spacing w:after="0" w:line="162" w:lineRule="exact"/>
        <w:rPr>
          <w:sz w:val="20"/>
          <w:szCs w:val="20"/>
          <w:color w:val="auto"/>
        </w:rPr>
      </w:pPr>
    </w:p>
    <w:p>
      <w:pPr>
        <w:jc w:val="both"/>
        <w:ind w:left="760"/>
        <w:spacing w:after="0" w:line="261" w:lineRule="auto"/>
        <w:rPr>
          <w:sz w:val="20"/>
          <w:szCs w:val="20"/>
          <w:color w:val="auto"/>
        </w:rPr>
      </w:pPr>
      <w:r>
        <w:rPr>
          <w:rFonts w:ascii="Arial" w:cs="Arial" w:eastAsia="Arial" w:hAnsi="Arial"/>
          <w:sz w:val="16"/>
          <w:szCs w:val="16"/>
          <w:color w:val="auto"/>
        </w:rPr>
        <w:t>We have an employment agreement with Mr. Karam and executive transition agreements with our other named executive officers to provide certain payments and benefits upon an involuntary termination of the named executive officer’s employment or the occurrence of certain other circumstances that may affect the named executive officer (and, in the case of Mr. Karam, the employment agreement also provides for, among other items, annual compensation and certain employee benefits, as well as entitlements upon an involuntary termination as described in the section “Arrangements with Mr. Karam” below). The Compensation Committee believes that such severance arrangements assist us in recruiting and retaining top-level talent. In addition, formalizing our severance practices benefits us (1) by providing us with certainty in terms of our obligations to an eligible executive in the event that our relationship with him or her is severed and (2) by virtue of the non-competition and non-solicitation provisions in our loyalty agreements, which inure to our benefit in the event that an eligible executive severs employment with us. We have a letter agreement and an employment agreement with Mr. Fadel, as described in the section “Arrangements with Mr. Fadel” below. As previously disclosed, Mr. Fadel did not receive any cash severance benefits in connection with his retirement on June 1, 2025, but certain of his equity awards continued to vest consistent with the letter agreement we entered into with him in April 2024, subject to the terms and conditions set forth therein.</w:t>
      </w:r>
    </w:p>
    <w:p>
      <w:pPr>
        <w:spacing w:after="0" w:line="112" w:lineRule="exact"/>
        <w:rPr>
          <w:sz w:val="20"/>
          <w:szCs w:val="20"/>
          <w:color w:val="auto"/>
        </w:rPr>
      </w:pPr>
    </w:p>
    <w:p>
      <w:pPr>
        <w:jc w:val="both"/>
        <w:ind w:left="760" w:right="20"/>
        <w:spacing w:after="0" w:line="304" w:lineRule="auto"/>
        <w:rPr>
          <w:sz w:val="20"/>
          <w:szCs w:val="20"/>
          <w:color w:val="auto"/>
        </w:rPr>
      </w:pPr>
      <w:r>
        <w:rPr>
          <w:rFonts w:ascii="Arial" w:cs="Arial" w:eastAsia="Arial" w:hAnsi="Arial"/>
          <w:sz w:val="16"/>
          <w:szCs w:val="16"/>
          <w:color w:val="auto"/>
        </w:rPr>
        <w:t>For a more detailed description of the severance arrangements which apply to our named executive officers, please see “Termination of Employment and Change-in-Control Arrangements” below.</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Employee Benefits and Limited Perquisites</w:t>
      </w:r>
    </w:p>
    <w:p>
      <w:pPr>
        <w:spacing w:after="0" w:line="162"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Our named executive officers are eligible to participate in the benefit plans generally available to all of our employees, which include health, dental, life insurance, vision and disability plans, all of which the Compensation Committee believes are commensurate with plans of other similarly situated public companies in the retail and consumer finance industries. In addition, we will pay the cost of an executive physical examination or concierge medicine access for each named executive officer each year and we do not gross up our executives for any taxes related to the cost of perquisites (other than for certain relocation-related expenses). Our named executive officers were eligible in 2025 to participate in our 401(k) Retirement Savings Plan and our Deferred Compensation Plan. The Deferred Compensation Plan allows our executive officers to defer certain compensation to help save for their longer term financial objectives on a tax-deferred basis.</w:t>
      </w:r>
    </w:p>
    <w:p>
      <w:pPr>
        <w:spacing w:after="0" w:line="109"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color w:val="auto"/>
        </w:rPr>
        <w:t>The Compensation Committee has determined it is beneficial to offer the above-described employee benefits and limited perquisites in order to attract and retain our named executive officers by offering compensation opportunities and benefits that are competitive with those offered by similarly situated public companies in the retail and consumer finance industries. In determining the total compensation payable to our named executive officers for a given fiscal year, the Compensation Committee will examine such employee benefits and perquisites in the context of the total compensation which our named executive officers are eligible to receive. However, because such employee benefits and perquisites that are available to our named executive officers represent a relatively small portion of their total compensation, the availability of such items does not materially influence the decisions made by the Compensation Committee with respect to other elements of the total compensation to which our named executive officers are entitled or awarded.</w:t>
      </w:r>
    </w:p>
    <w:p>
      <w:pPr>
        <w:spacing w:after="0" w:line="123"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6"/>
          <w:szCs w:val="16"/>
          <w:color w:val="auto"/>
        </w:rPr>
        <w:t>For a description of the employee benefits and perquisites received by our named executive officers in 2025, please see “All Other Compensation” below.</w:t>
      </w:r>
    </w:p>
    <w:p>
      <w:pPr>
        <w:spacing w:after="0" w:line="200" w:lineRule="exact"/>
        <w:rPr>
          <w:sz w:val="20"/>
          <w:szCs w:val="20"/>
          <w:color w:val="auto"/>
        </w:rPr>
      </w:pPr>
    </w:p>
    <w:p>
      <w:pPr>
        <w:spacing w:after="0" w:line="23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32</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The Compensation Committee typically begins the process of determining the amount and mix of total compensation to be paid to our senior executives, including our named executive officers, in December of each year and finalizes the amounts the following February. This enables the Compensation Committee to examine and consider our performance during the previous year in establishing the current year’s compensation. During the Compensation Committee’s annual review of the executive compensation program, the Compensation Committee primarily considers market and Peer Group data (as described below), input provided by the Compensation Committee’s independent compensation consultant and by our Human Resources department, and input of the Chief Executive Officer other than with respect to his own compensation. The Compensation Committee also considers experience, responsibilities, competencies and individual performance.</w:t>
      </w:r>
    </w:p>
    <w:p>
      <w:pPr>
        <w:spacing w:after="0" w:line="109"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Historically, the Compensation Committee has retained annually a compensation consultant to conduct a formal evaluation of, and advise it with respect to, the compensation arrangements for our Chief Executive Officer, as well as provide guidance with respect to the compensation of our senior executives, including our other named executive officers. For the 2025 fiscal year, the Compensation Committee reviewed the executive compensation analysis conducted by Korn Ferry, Inc. (“Korn Ferry”), which utilized the approved Peer Group (as defined below), pursuant to its engagement by the Compensation Committee to assist the committee with compensation decisions for the 2025 fiscal year.</w:t>
      </w:r>
    </w:p>
    <w:p>
      <w:pPr>
        <w:spacing w:after="0" w:line="104"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The Compensation Committee considered executive compensation practices of the following similarly situated public companies (the “Peer Group”) for the purpose of evaluating our 2025 compensation arrangements for our senior executives:</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235"/>
        </w:trPr>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t>
            </w:r>
          </w:p>
        </w:tc>
        <w:tc>
          <w:tcPr>
            <w:tcW w:w="4840" w:type="dxa"/>
            <w:vAlign w:val="bottom"/>
            <w:tcBorders>
              <w:bottom w:val="single" w:sz="8" w:color="auto"/>
            </w:tcBorders>
            <w:gridSpan w:val="2"/>
          </w:tcPr>
          <w:p>
            <w:pPr>
              <w:ind w:left="2000"/>
              <w:spacing w:after="0"/>
              <w:rPr>
                <w:sz w:val="20"/>
                <w:szCs w:val="20"/>
                <w:color w:val="auto"/>
              </w:rPr>
            </w:pPr>
            <w:r>
              <w:rPr>
                <w:rFonts w:ascii="Arial" w:cs="Arial" w:eastAsia="Arial" w:hAnsi="Arial"/>
                <w:sz w:val="15"/>
                <w:szCs w:val="15"/>
                <w:b w:val="1"/>
                <w:bCs w:val="1"/>
                <w:color w:val="auto"/>
              </w:rPr>
              <w:t>2025 Peer Group</w:t>
            </w:r>
            <w:r>
              <w:rPr>
                <w:rFonts w:ascii="Arial" w:cs="Arial" w:eastAsia="Arial" w:hAnsi="Arial"/>
                <w:sz w:val="19"/>
                <w:szCs w:val="19"/>
                <w:b w:val="1"/>
                <w:bCs w:val="1"/>
                <w:color w:val="auto"/>
                <w:vertAlign w:val="superscript"/>
              </w:rPr>
              <w:t>(1)</w:t>
            </w:r>
          </w:p>
        </w:tc>
        <w:tc>
          <w:tcPr>
            <w:tcW w:w="2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w:t>
            </w:r>
          </w:p>
        </w:tc>
      </w:tr>
      <w:tr>
        <w:trPr>
          <w:trHeight w:val="206"/>
        </w:trPr>
        <w:tc>
          <w:tcPr>
            <w:tcW w:w="1940" w:type="dxa"/>
            <w:vAlign w:val="bottom"/>
          </w:tcPr>
          <w:p>
            <w:pPr>
              <w:spacing w:after="0"/>
              <w:rPr>
                <w:sz w:val="20"/>
                <w:szCs w:val="20"/>
                <w:color w:val="auto"/>
              </w:rPr>
            </w:pPr>
            <w:r>
              <w:rPr>
                <w:rFonts w:ascii="Arial" w:cs="Arial" w:eastAsia="Arial" w:hAnsi="Arial"/>
                <w:sz w:val="15"/>
                <w:szCs w:val="15"/>
                <w:color w:val="auto"/>
              </w:rPr>
              <w:t>​ The Aaron’s Company</w:t>
            </w:r>
          </w:p>
        </w:tc>
        <w:tc>
          <w:tcPr>
            <w:tcW w:w="2620" w:type="dxa"/>
            <w:vAlign w:val="bottom"/>
          </w:tcPr>
          <w:p>
            <w:pPr>
              <w:ind w:left="180"/>
              <w:spacing w:after="0"/>
              <w:rPr>
                <w:sz w:val="20"/>
                <w:szCs w:val="20"/>
                <w:color w:val="auto"/>
              </w:rPr>
            </w:pPr>
            <w:r>
              <w:rPr>
                <w:rFonts w:ascii="Arial" w:cs="Arial" w:eastAsia="Arial" w:hAnsi="Arial"/>
                <w:sz w:val="15"/>
                <w:szCs w:val="15"/>
                <w:color w:val="auto"/>
              </w:rPr>
              <w:t>​ ​ Bread Financial Holdings, Inc.</w:t>
            </w:r>
          </w:p>
        </w:tc>
        <w:tc>
          <w:tcPr>
            <w:tcW w:w="2220" w:type="dxa"/>
            <w:vAlign w:val="bottom"/>
          </w:tcPr>
          <w:p>
            <w:pPr>
              <w:ind w:left="40"/>
              <w:spacing w:after="0"/>
              <w:rPr>
                <w:sz w:val="20"/>
                <w:szCs w:val="20"/>
                <w:color w:val="auto"/>
              </w:rPr>
            </w:pPr>
            <w:r>
              <w:rPr>
                <w:rFonts w:ascii="Arial" w:cs="Arial" w:eastAsia="Arial" w:hAnsi="Arial"/>
                <w:sz w:val="15"/>
                <w:szCs w:val="15"/>
                <w:color w:val="auto"/>
              </w:rPr>
              <w:t>​ ​ Brinker International, Inc.</w:t>
            </w:r>
          </w:p>
        </w:tc>
        <w:tc>
          <w:tcPr>
            <w:tcW w:w="2200" w:type="dxa"/>
            <w:vAlign w:val="bottom"/>
          </w:tcPr>
          <w:p>
            <w:pPr>
              <w:ind w:left="60"/>
              <w:spacing w:after="0"/>
              <w:rPr>
                <w:sz w:val="20"/>
                <w:szCs w:val="20"/>
                <w:color w:val="auto"/>
              </w:rPr>
            </w:pPr>
            <w:r>
              <w:rPr>
                <w:rFonts w:ascii="Arial" w:cs="Arial" w:eastAsia="Arial" w:hAnsi="Arial"/>
                <w:sz w:val="15"/>
                <w:szCs w:val="15"/>
                <w:color w:val="auto"/>
              </w:rPr>
              <w:t>​ ​ Conn’s, Inc.</w:t>
            </w:r>
          </w:p>
        </w:tc>
        <w:tc>
          <w:tcPr>
            <w:tcW w:w="220" w:type="dxa"/>
            <w:vAlign w:val="bottom"/>
          </w:tcPr>
          <w:p>
            <w:pPr>
              <w:ind w:left="100"/>
              <w:spacing w:after="0"/>
              <w:rPr>
                <w:sz w:val="20"/>
                <w:szCs w:val="20"/>
                <w:color w:val="auto"/>
              </w:rPr>
            </w:pPr>
            <w:r>
              <w:rPr>
                <w:rFonts w:ascii="Arial" w:cs="Arial" w:eastAsia="Arial" w:hAnsi="Arial"/>
                <w:sz w:val="15"/>
                <w:szCs w:val="15"/>
                <w:color w:val="auto"/>
              </w:rPr>
              <w:t>​</w:t>
            </w:r>
          </w:p>
        </w:tc>
      </w:tr>
      <w:tr>
        <w:trPr>
          <w:trHeight w:val="210"/>
        </w:trPr>
        <w:tc>
          <w:tcPr>
            <w:tcW w:w="19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5"/>
                <w:szCs w:val="15"/>
                <w:color w:val="auto"/>
              </w:rPr>
              <w:t>(BFH)</w:t>
            </w:r>
          </w:p>
        </w:tc>
        <w:tc>
          <w:tcPr>
            <w:tcW w:w="2220" w:type="dxa"/>
            <w:vAlign w:val="bottom"/>
          </w:tcPr>
          <w:p>
            <w:pPr>
              <w:ind w:left="260"/>
              <w:spacing w:after="0"/>
              <w:rPr>
                <w:sz w:val="20"/>
                <w:szCs w:val="20"/>
                <w:color w:val="auto"/>
              </w:rPr>
            </w:pPr>
            <w:r>
              <w:rPr>
                <w:rFonts w:ascii="Arial" w:cs="Arial" w:eastAsia="Arial" w:hAnsi="Arial"/>
                <w:sz w:val="15"/>
                <w:szCs w:val="15"/>
                <w:color w:val="auto"/>
              </w:rPr>
              <w:t>(EAT)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1940" w:type="dxa"/>
            <w:vAlign w:val="bottom"/>
            <w:shd w:val="clear" w:color="auto" w:fill="E5E5E5"/>
          </w:tcPr>
          <w:p>
            <w:pPr>
              <w:spacing w:after="0"/>
              <w:rPr>
                <w:sz w:val="20"/>
                <w:szCs w:val="20"/>
                <w:color w:val="auto"/>
              </w:rPr>
            </w:pPr>
            <w:r>
              <w:rPr>
                <w:rFonts w:ascii="Arial" w:cs="Arial" w:eastAsia="Arial" w:hAnsi="Arial"/>
                <w:sz w:val="15"/>
                <w:szCs w:val="15"/>
                <w:color w:val="auto"/>
              </w:rPr>
              <w:t>​ Enova International, Inc.</w:t>
            </w:r>
          </w:p>
        </w:tc>
        <w:tc>
          <w:tcPr>
            <w:tcW w:w="2620" w:type="dxa"/>
            <w:vAlign w:val="bottom"/>
            <w:shd w:val="clear" w:color="auto" w:fill="E5E5E5"/>
          </w:tcPr>
          <w:p>
            <w:pPr>
              <w:ind w:left="180"/>
              <w:spacing w:after="0"/>
              <w:rPr>
                <w:sz w:val="20"/>
                <w:szCs w:val="20"/>
                <w:color w:val="auto"/>
              </w:rPr>
            </w:pPr>
            <w:r>
              <w:rPr>
                <w:rFonts w:ascii="Arial" w:cs="Arial" w:eastAsia="Arial" w:hAnsi="Arial"/>
                <w:sz w:val="15"/>
                <w:szCs w:val="15"/>
                <w:color w:val="auto"/>
              </w:rPr>
              <w:t>​ ​ FirstCash Holdings, Inc. (FCFS)</w:t>
            </w:r>
          </w:p>
        </w:tc>
        <w:tc>
          <w:tcPr>
            <w:tcW w:w="2220" w:type="dxa"/>
            <w:vAlign w:val="bottom"/>
            <w:shd w:val="clear" w:color="auto" w:fill="E5E5E5"/>
          </w:tcPr>
          <w:p>
            <w:pPr>
              <w:ind w:left="40"/>
              <w:spacing w:after="0"/>
              <w:rPr>
                <w:sz w:val="20"/>
                <w:szCs w:val="20"/>
                <w:color w:val="auto"/>
              </w:rPr>
            </w:pPr>
            <w:r>
              <w:rPr>
                <w:rFonts w:ascii="Arial" w:cs="Arial" w:eastAsia="Arial" w:hAnsi="Arial"/>
                <w:sz w:val="15"/>
                <w:szCs w:val="15"/>
                <w:color w:val="auto"/>
              </w:rPr>
              <w:t>​ ​ H&amp;R Block, Inc. (HRB)</w:t>
            </w:r>
          </w:p>
        </w:tc>
        <w:tc>
          <w:tcPr>
            <w:tcW w:w="2420" w:type="dxa"/>
            <w:vAlign w:val="bottom"/>
            <w:gridSpan w:val="2"/>
            <w:shd w:val="clear" w:color="auto" w:fill="E5E5E5"/>
          </w:tcPr>
          <w:p>
            <w:pPr>
              <w:ind w:left="60"/>
              <w:spacing w:after="0"/>
              <w:rPr>
                <w:sz w:val="20"/>
                <w:szCs w:val="20"/>
                <w:color w:val="auto"/>
              </w:rPr>
            </w:pPr>
            <w:r>
              <w:rPr>
                <w:rFonts w:ascii="Arial" w:cs="Arial" w:eastAsia="Arial" w:hAnsi="Arial"/>
                <w:sz w:val="15"/>
                <w:szCs w:val="15"/>
                <w:color w:val="auto"/>
              </w:rPr>
              <w:t>​ ​ La-Z-Boy Incorporated (LZB) ​</w:t>
            </w:r>
          </w:p>
        </w:tc>
      </w:tr>
      <w:tr>
        <w:trPr>
          <w:trHeight w:val="220"/>
        </w:trPr>
        <w:tc>
          <w:tcPr>
            <w:tcW w:w="1940" w:type="dxa"/>
            <w:vAlign w:val="bottom"/>
            <w:shd w:val="clear" w:color="auto" w:fill="E5E5E5"/>
          </w:tcPr>
          <w:p>
            <w:pPr>
              <w:ind w:left="120"/>
              <w:spacing w:after="0"/>
              <w:rPr>
                <w:sz w:val="20"/>
                <w:szCs w:val="20"/>
                <w:color w:val="auto"/>
              </w:rPr>
            </w:pPr>
            <w:r>
              <w:rPr>
                <w:rFonts w:ascii="Arial" w:cs="Arial" w:eastAsia="Arial" w:hAnsi="Arial"/>
                <w:sz w:val="15"/>
                <w:szCs w:val="15"/>
                <w:color w:val="auto"/>
              </w:rPr>
              <w:t>(ENVA)</w:t>
            </w:r>
          </w:p>
        </w:tc>
        <w:tc>
          <w:tcPr>
            <w:tcW w:w="2620" w:type="dxa"/>
            <w:vAlign w:val="bottom"/>
            <w:shd w:val="clear" w:color="auto" w:fill="E5E5E5"/>
          </w:tcPr>
          <w:p>
            <w:pPr>
              <w:spacing w:after="0"/>
              <w:rPr>
                <w:sz w:val="19"/>
                <w:szCs w:val="19"/>
                <w:color w:val="auto"/>
              </w:rPr>
            </w:pPr>
          </w:p>
        </w:tc>
        <w:tc>
          <w:tcPr>
            <w:tcW w:w="2220" w:type="dxa"/>
            <w:vAlign w:val="bottom"/>
            <w:shd w:val="clear" w:color="auto" w:fill="E5E5E5"/>
          </w:tcPr>
          <w:p>
            <w:pPr>
              <w:spacing w:after="0"/>
              <w:rPr>
                <w:sz w:val="19"/>
                <w:szCs w:val="19"/>
                <w:color w:val="auto"/>
              </w:rPr>
            </w:pPr>
          </w:p>
        </w:tc>
        <w:tc>
          <w:tcPr>
            <w:tcW w:w="2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r>
      <w:tr>
        <w:trPr>
          <w:trHeight w:val="212"/>
        </w:trPr>
        <w:tc>
          <w:tcPr>
            <w:tcW w:w="1940" w:type="dxa"/>
            <w:vAlign w:val="bottom"/>
          </w:tcPr>
          <w:p>
            <w:pPr>
              <w:spacing w:after="0"/>
              <w:rPr>
                <w:sz w:val="20"/>
                <w:szCs w:val="20"/>
                <w:color w:val="auto"/>
              </w:rPr>
            </w:pPr>
            <w:r>
              <w:rPr>
                <w:rFonts w:ascii="Arial" w:cs="Arial" w:eastAsia="Arial" w:hAnsi="Arial"/>
                <w:sz w:val="15"/>
                <w:szCs w:val="15"/>
                <w:color w:val="auto"/>
              </w:rPr>
              <w:t>​ ODP Corporation (ODP)</w:t>
            </w:r>
          </w:p>
        </w:tc>
        <w:tc>
          <w:tcPr>
            <w:tcW w:w="2620" w:type="dxa"/>
            <w:vAlign w:val="bottom"/>
          </w:tcPr>
          <w:p>
            <w:pPr>
              <w:ind w:left="180"/>
              <w:spacing w:after="0"/>
              <w:rPr>
                <w:sz w:val="20"/>
                <w:szCs w:val="20"/>
                <w:color w:val="auto"/>
              </w:rPr>
            </w:pPr>
            <w:r>
              <w:rPr>
                <w:rFonts w:ascii="Arial" w:cs="Arial" w:eastAsia="Arial" w:hAnsi="Arial"/>
                <w:sz w:val="15"/>
                <w:szCs w:val="15"/>
                <w:color w:val="auto"/>
              </w:rPr>
              <w:t>​ ​ OneMain Holdings, Inc. (OMF)</w:t>
            </w:r>
          </w:p>
        </w:tc>
        <w:tc>
          <w:tcPr>
            <w:tcW w:w="2220" w:type="dxa"/>
            <w:vAlign w:val="bottom"/>
          </w:tcPr>
          <w:p>
            <w:pPr>
              <w:ind w:left="40"/>
              <w:spacing w:after="0"/>
              <w:rPr>
                <w:sz w:val="20"/>
                <w:szCs w:val="20"/>
                <w:color w:val="auto"/>
              </w:rPr>
            </w:pPr>
            <w:r>
              <w:rPr>
                <w:rFonts w:ascii="Arial" w:cs="Arial" w:eastAsia="Arial" w:hAnsi="Arial"/>
                <w:sz w:val="15"/>
                <w:szCs w:val="15"/>
                <w:color w:val="auto"/>
              </w:rPr>
              <w:t>​ ​ PROG Holdings, Inc. (PRG)</w:t>
            </w:r>
          </w:p>
        </w:tc>
        <w:tc>
          <w:tcPr>
            <w:tcW w:w="2200" w:type="dxa"/>
            <w:vAlign w:val="bottom"/>
          </w:tcPr>
          <w:p>
            <w:pPr>
              <w:ind w:left="60"/>
              <w:spacing w:after="0"/>
              <w:rPr>
                <w:sz w:val="20"/>
                <w:szCs w:val="20"/>
                <w:color w:val="auto"/>
              </w:rPr>
            </w:pPr>
            <w:r>
              <w:rPr>
                <w:rFonts w:ascii="Arial" w:cs="Arial" w:eastAsia="Arial" w:hAnsi="Arial"/>
                <w:sz w:val="15"/>
                <w:szCs w:val="15"/>
                <w:color w:val="auto"/>
              </w:rPr>
              <w:t>​ ​ Sally Beauty Holdings, Inc.</w:t>
            </w:r>
          </w:p>
        </w:tc>
        <w:tc>
          <w:tcPr>
            <w:tcW w:w="220" w:type="dxa"/>
            <w:vAlign w:val="bottom"/>
          </w:tcPr>
          <w:p>
            <w:pPr>
              <w:ind w:left="100"/>
              <w:spacing w:after="0"/>
              <w:rPr>
                <w:sz w:val="20"/>
                <w:szCs w:val="20"/>
                <w:color w:val="auto"/>
              </w:rPr>
            </w:pPr>
            <w:r>
              <w:rPr>
                <w:rFonts w:ascii="Arial" w:cs="Arial" w:eastAsia="Arial" w:hAnsi="Arial"/>
                <w:sz w:val="15"/>
                <w:szCs w:val="15"/>
                <w:color w:val="auto"/>
              </w:rPr>
              <w:t>​</w:t>
            </w:r>
          </w:p>
        </w:tc>
      </w:tr>
      <w:tr>
        <w:trPr>
          <w:trHeight w:val="210"/>
        </w:trPr>
        <w:tc>
          <w:tcPr>
            <w:tcW w:w="1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ind w:left="260"/>
              <w:spacing w:after="0"/>
              <w:rPr>
                <w:sz w:val="20"/>
                <w:szCs w:val="20"/>
                <w:color w:val="auto"/>
              </w:rPr>
            </w:pPr>
            <w:r>
              <w:rPr>
                <w:rFonts w:ascii="Arial" w:cs="Arial" w:eastAsia="Arial" w:hAnsi="Arial"/>
                <w:sz w:val="15"/>
                <w:szCs w:val="15"/>
                <w:color w:val="auto"/>
              </w:rPr>
              <w:t>(SBH)</w:t>
            </w:r>
          </w:p>
        </w:tc>
        <w:tc>
          <w:tcPr>
            <w:tcW w:w="220" w:type="dxa"/>
            <w:vAlign w:val="bottom"/>
          </w:tcPr>
          <w:p>
            <w:pPr>
              <w:spacing w:after="0"/>
              <w:rPr>
                <w:sz w:val="18"/>
                <w:szCs w:val="18"/>
                <w:color w:val="auto"/>
              </w:rPr>
            </w:pPr>
          </w:p>
        </w:tc>
      </w:tr>
      <w:tr>
        <w:trPr>
          <w:trHeight w:val="222"/>
        </w:trPr>
        <w:tc>
          <w:tcPr>
            <w:tcW w:w="4560" w:type="dxa"/>
            <w:vAlign w:val="bottom"/>
            <w:gridSpan w:val="2"/>
            <w:shd w:val="clear" w:color="auto" w:fill="E5E5E5"/>
          </w:tcPr>
          <w:p>
            <w:pPr>
              <w:spacing w:after="0"/>
              <w:rPr>
                <w:sz w:val="20"/>
                <w:szCs w:val="20"/>
                <w:color w:val="auto"/>
              </w:rPr>
            </w:pPr>
            <w:r>
              <w:rPr>
                <w:rFonts w:ascii="Arial" w:cs="Arial" w:eastAsia="Arial" w:hAnsi="Arial"/>
                <w:sz w:val="15"/>
                <w:szCs w:val="15"/>
                <w:color w:val="auto"/>
              </w:rPr>
              <w:t>​ The Western Union Company​ ​ ​</w:t>
            </w:r>
          </w:p>
        </w:tc>
        <w:tc>
          <w:tcPr>
            <w:tcW w:w="2220" w:type="dxa"/>
            <w:vAlign w:val="bottom"/>
            <w:shd w:val="clear" w:color="auto" w:fill="E5E5E5"/>
          </w:tcPr>
          <w:p>
            <w:pPr>
              <w:ind w:left="40"/>
              <w:spacing w:after="0"/>
              <w:rPr>
                <w:sz w:val="20"/>
                <w:szCs w:val="20"/>
                <w:color w:val="auto"/>
              </w:rPr>
            </w:pPr>
            <w:r>
              <w:rPr>
                <w:rFonts w:ascii="Arial" w:cs="Arial" w:eastAsia="Arial" w:hAnsi="Arial"/>
                <w:sz w:val="15"/>
                <w:szCs w:val="15"/>
                <w:color w:val="auto"/>
              </w:rPr>
              <w:t>​ ​ ​</w:t>
            </w:r>
          </w:p>
        </w:tc>
        <w:tc>
          <w:tcPr>
            <w:tcW w:w="2200" w:type="dxa"/>
            <w:vAlign w:val="bottom"/>
            <w:shd w:val="clear" w:color="auto" w:fill="E5E5E5"/>
          </w:tcPr>
          <w:p>
            <w:pPr>
              <w:ind w:left="60"/>
              <w:spacing w:after="0"/>
              <w:rPr>
                <w:sz w:val="20"/>
                <w:szCs w:val="20"/>
                <w:color w:val="auto"/>
              </w:rPr>
            </w:pPr>
            <w:r>
              <w:rPr>
                <w:rFonts w:ascii="Arial" w:cs="Arial" w:eastAsia="Arial" w:hAnsi="Arial"/>
                <w:sz w:val="15"/>
                <w:szCs w:val="15"/>
                <w:color w:val="auto"/>
              </w:rPr>
              <w:t>​ ​ ​</w:t>
            </w:r>
          </w:p>
        </w:tc>
        <w:tc>
          <w:tcPr>
            <w:tcW w:w="220" w:type="dxa"/>
            <w:vAlign w:val="bottom"/>
            <w:shd w:val="clear" w:color="auto" w:fill="E5E5E5"/>
          </w:tcPr>
          <w:p>
            <w:pPr>
              <w:ind w:left="100"/>
              <w:spacing w:after="0"/>
              <w:rPr>
                <w:sz w:val="20"/>
                <w:szCs w:val="20"/>
                <w:color w:val="auto"/>
              </w:rPr>
            </w:pPr>
            <w:r>
              <w:rPr>
                <w:rFonts w:ascii="Arial" w:cs="Arial" w:eastAsia="Arial" w:hAnsi="Arial"/>
                <w:sz w:val="15"/>
                <w:szCs w:val="15"/>
                <w:color w:val="auto"/>
              </w:rPr>
              <w:t>​</w:t>
            </w:r>
          </w:p>
        </w:tc>
      </w:tr>
      <w:tr>
        <w:trPr>
          <w:trHeight w:val="213"/>
        </w:trPr>
        <w:tc>
          <w:tcPr>
            <w:tcW w:w="194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5"/>
                <w:szCs w:val="15"/>
                <w:color w:val="auto"/>
              </w:rPr>
              <w:t>(WU)</w:t>
            </w:r>
          </w:p>
        </w:tc>
        <w:tc>
          <w:tcPr>
            <w:tcW w:w="2620" w:type="dxa"/>
            <w:vAlign w:val="bottom"/>
            <w:tcBorders>
              <w:bottom w:val="single" w:sz="8" w:color="E5E5E5"/>
            </w:tcBorders>
            <w:shd w:val="clear" w:color="auto" w:fill="E5E5E5"/>
          </w:tcPr>
          <w:p>
            <w:pPr>
              <w:spacing w:after="0"/>
              <w:rPr>
                <w:sz w:val="18"/>
                <w:szCs w:val="18"/>
                <w:color w:val="auto"/>
              </w:rPr>
            </w:pPr>
          </w:p>
        </w:tc>
        <w:tc>
          <w:tcPr>
            <w:tcW w:w="2220" w:type="dxa"/>
            <w:vAlign w:val="bottom"/>
            <w:tcBorders>
              <w:bottom w:val="single" w:sz="8" w:color="E5E5E5"/>
            </w:tcBorders>
            <w:shd w:val="clear" w:color="auto" w:fill="E5E5E5"/>
          </w:tcPr>
          <w:p>
            <w:pPr>
              <w:spacing w:after="0"/>
              <w:rPr>
                <w:sz w:val="18"/>
                <w:szCs w:val="18"/>
                <w:color w:val="auto"/>
              </w:rPr>
            </w:pPr>
          </w:p>
        </w:tc>
        <w:tc>
          <w:tcPr>
            <w:tcW w:w="220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87" w:lineRule="exact"/>
        <w:rPr>
          <w:sz w:val="20"/>
          <w:szCs w:val="20"/>
          <w:color w:val="auto"/>
        </w:rPr>
      </w:pPr>
    </w:p>
    <w:p>
      <w:pPr>
        <w:ind w:left="1120" w:hanging="358"/>
        <w:spacing w:after="0"/>
        <w:tabs>
          <w:tab w:leader="none" w:pos="11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The peer company’s stock ticker symbol, as applicable, is presented in parentheses.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criteria were considered in the selection of companies for this Peer Group:</w:t>
      </w:r>
    </w:p>
    <w:p>
      <w:pPr>
        <w:spacing w:after="0" w:line="127" w:lineRule="exact"/>
        <w:rPr>
          <w:sz w:val="20"/>
          <w:szCs w:val="20"/>
          <w:color w:val="auto"/>
        </w:rPr>
      </w:pPr>
    </w:p>
    <w:p>
      <w:pPr>
        <w:ind w:left="940" w:right="40" w:hanging="178"/>
        <w:spacing w:after="0" w:line="304" w:lineRule="auto"/>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U.S.-based public companies with a similar business focus as ours, including both consumer finance and retail (particularly home furnishings, appliances and other retail organizations);</w:t>
      </w:r>
    </w:p>
    <w:p>
      <w:pPr>
        <w:spacing w:after="0" w:line="33"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Companies with annual revenue similar to us (generally 0.5 to 2.0 times our revenue, based on the most recent available financial information at the time of the analysis); and</w:t>
      </w:r>
    </w:p>
    <w:p>
      <w:pPr>
        <w:spacing w:after="0" w:line="46" w:lineRule="exact"/>
        <w:rPr>
          <w:rFonts w:ascii="Arial" w:cs="Arial" w:eastAsia="Arial" w:hAnsi="Arial"/>
          <w:sz w:val="16"/>
          <w:szCs w:val="16"/>
          <w:color w:val="auto"/>
        </w:rPr>
      </w:pPr>
    </w:p>
    <w:p>
      <w:pPr>
        <w:ind w:left="940" w:hanging="178"/>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Competitors for executive talent.</w:t>
      </w:r>
    </w:p>
    <w:p>
      <w:pPr>
        <w:spacing w:after="0" w:line="154"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In late 2025, the Compensation Committee considered the above criteria in reviewing the Peer Group to be used for 2026 benchmarking purposes and determined to remove Conn’s, Inc. due to its filing for bankruptcy and The Aaron’s Company, Inc. because it is no longer a public company. As part of its annual review of the Peer Group, the Compensation Committee added four companies to the Peer Group for purposes of 2026 benchmarking: Ally Financial Inc. (NYSE: ALLY) and SoFi Technologies, Inc. (Nasdaq: SOFI) as new consumer finance peers and Floor &amp; Decor Holdings Inc. (NYSE: FND) and Sleep Number Corp. (Nasdaq: SNBR) as new retail peers.</w:t>
      </w:r>
    </w:p>
    <w:p>
      <w:pPr>
        <w:spacing w:after="0" w:line="118"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Certain members of the Compensation Committee have significant professional experience in the retail and consumer finance industries, as well as with respect to the executive compensation practices of large publicly traded companies. This experience provides a frame of reference within which to evaluate our executive compensation program relative to general economic conditions and our progress in achieving our short-term and long-term goals.</w:t>
      </w:r>
    </w:p>
    <w:p>
      <w:pPr>
        <w:spacing w:after="0" w:line="100"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As discussed above, the Compensation Committee has engaged Korn Ferry as its independent compensation consultant, and in such role, Korn Ferry provides ongoing advisory services to the Compensation Committee on various aspects of its overall compensation practices.</w:t>
      </w:r>
    </w:p>
    <w:p>
      <w:pPr>
        <w:spacing w:after="0" w:line="200" w:lineRule="exact"/>
        <w:rPr>
          <w:sz w:val="20"/>
          <w:szCs w:val="20"/>
          <w:color w:val="auto"/>
        </w:rPr>
      </w:pPr>
    </w:p>
    <w:p>
      <w:pPr>
        <w:spacing w:after="0" w:line="360"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5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Forms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ind w:left="760" w:right="40"/>
        <w:spacing w:after="0" w:line="286" w:lineRule="auto"/>
        <w:rPr>
          <w:sz w:val="20"/>
          <w:szCs w:val="20"/>
          <w:color w:val="auto"/>
        </w:rPr>
      </w:pPr>
      <w:r>
        <w:rPr>
          <w:rFonts w:ascii="Arial" w:cs="Arial" w:eastAsia="Arial" w:hAnsi="Arial"/>
          <w:sz w:val="16"/>
          <w:szCs w:val="16"/>
          <w:color w:val="auto"/>
        </w:rPr>
        <w:t>The following forms of compensation are currently utilized by the Compensation Committee in compensating our named executive officers:</w:t>
      </w:r>
    </w:p>
    <w:p>
      <w:pPr>
        <w:spacing w:after="0" w:line="34" w:lineRule="exact"/>
        <w:rPr>
          <w:sz w:val="20"/>
          <w:szCs w:val="20"/>
          <w:color w:val="auto"/>
        </w:rPr>
      </w:pPr>
    </w:p>
    <w:p>
      <w:pPr>
        <w:ind w:left="940" w:hanging="178"/>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 salary, which is paid in cash;</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annual incentive compensation, which is paid in cash;</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long-term incentive compensation, which consists of restricted stock units and performance-based stock units;</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severance arrangements; and</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employee benefits, including limited perquisites, with no tax gross-ups (other than for certain relocation-related expenses).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jc w:val="both"/>
        <w:ind w:left="760" w:right="40"/>
        <w:spacing w:after="0" w:line="266" w:lineRule="auto"/>
        <w:rPr>
          <w:sz w:val="20"/>
          <w:szCs w:val="20"/>
          <w:color w:val="auto"/>
        </w:rPr>
      </w:pPr>
      <w:r>
        <w:rPr>
          <w:rFonts w:ascii="Arial" w:cs="Arial" w:eastAsia="Arial" w:hAnsi="Arial"/>
          <w:sz w:val="16"/>
          <w:szCs w:val="16"/>
          <w:color w:val="auto"/>
        </w:rPr>
        <w:t>The base salary for each of our named executive officers represents the guaranteed portion of their total compensation and is determined annually by the Compensation Committee. Base salaries help to achieve our goal of maintaining a competitive program that will attract and retain talent needed for our long-term success.</w:t>
      </w:r>
    </w:p>
    <w:p>
      <w:pPr>
        <w:spacing w:after="0" w:line="104" w:lineRule="exact"/>
        <w:rPr>
          <w:sz w:val="20"/>
          <w:szCs w:val="20"/>
          <w:color w:val="auto"/>
        </w:rPr>
      </w:pPr>
    </w:p>
    <w:p>
      <w:pPr>
        <w:jc w:val="both"/>
        <w:ind w:left="760" w:right="40"/>
        <w:spacing w:after="0" w:line="254" w:lineRule="auto"/>
        <w:rPr>
          <w:sz w:val="20"/>
          <w:szCs w:val="20"/>
          <w:color w:val="auto"/>
        </w:rPr>
      </w:pPr>
      <w:r>
        <w:rPr>
          <w:rFonts w:ascii="Arial" w:cs="Arial" w:eastAsia="Arial" w:hAnsi="Arial"/>
          <w:sz w:val="16"/>
          <w:szCs w:val="16"/>
          <w:color w:val="auto"/>
        </w:rPr>
        <w:t>At the beginning of each year, the Compensation Committee considers whether adjustments should be made to the annual base salaries for our named executive officers. During the Compensation Committee’s review of the then-current base salaries, the Compensation Committee primarily considers market data from the Peer Group and published surveys, input provided by our Executive Vice President — Chief Human Resources Officer, input of the Chief Executive Officer (other than with respect to his own base salary), individual performance, our financial performance, the experience, responsibilities and competencies of the named executive officer, and each named executive officer’s compensation in relation to our other executive officers.</w:t>
      </w:r>
    </w:p>
    <w:p>
      <w:pPr>
        <w:spacing w:after="0" w:line="101" w:lineRule="exact"/>
        <w:rPr>
          <w:sz w:val="20"/>
          <w:szCs w:val="20"/>
          <w:color w:val="auto"/>
        </w:rPr>
      </w:pPr>
    </w:p>
    <w:p>
      <w:pPr>
        <w:jc w:val="both"/>
        <w:ind w:left="760" w:right="40"/>
        <w:spacing w:after="0" w:line="256" w:lineRule="auto"/>
        <w:rPr>
          <w:sz w:val="20"/>
          <w:szCs w:val="20"/>
          <w:color w:val="auto"/>
        </w:rPr>
      </w:pPr>
      <w:r>
        <w:rPr>
          <w:rFonts w:ascii="Arial" w:cs="Arial" w:eastAsia="Arial" w:hAnsi="Arial"/>
          <w:sz w:val="16"/>
          <w:szCs w:val="16"/>
          <w:color w:val="auto"/>
        </w:rPr>
        <w:t>In early 2025, based on the consideration of these factors, the Compensation Committee approved the base salaries of our Chief Executive Officer and other named executive officers. The Compensation Committee determined to increase the base salaries for Messrs. Fadel, Karam, Montrone, Blasquez and Pechersky as part of the annual compensation review process in light of their experience, responsibilities, competencies and individual performance, in addition to market data. The following table sets forth the annual base salaries of the named executive officers for 2025:</w:t>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10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Name</w:t>
            </w:r>
          </w:p>
        </w:tc>
        <w:tc>
          <w:tcPr>
            <w:tcW w:w="3520" w:type="dxa"/>
            <w:vAlign w:val="bottom"/>
            <w:gridSpan w:val="3"/>
          </w:tcPr>
          <w:p>
            <w:pPr>
              <w:jc w:val="right"/>
              <w:spacing w:after="0"/>
              <w:rPr>
                <w:sz w:val="20"/>
                <w:szCs w:val="20"/>
                <w:color w:val="auto"/>
              </w:rPr>
            </w:pPr>
            <w:r>
              <w:rPr>
                <w:rFonts w:ascii="Arial" w:cs="Arial" w:eastAsia="Arial" w:hAnsi="Arial"/>
                <w:sz w:val="15"/>
                <w:szCs w:val="15"/>
                <w:b w:val="1"/>
                <w:bCs w:val="1"/>
                <w:color w:val="auto"/>
              </w:rPr>
              <w:t>2024 Base Salary</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 Increase</w:t>
            </w:r>
          </w:p>
        </w:tc>
        <w:tc>
          <w:tcPr>
            <w:tcW w:w="1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56"/>
              <w:spacing w:after="0"/>
              <w:rPr>
                <w:sz w:val="20"/>
                <w:szCs w:val="20"/>
                <w:color w:val="auto"/>
              </w:rPr>
            </w:pPr>
            <w:r>
              <w:rPr>
                <w:rFonts w:ascii="Arial" w:cs="Arial" w:eastAsia="Arial" w:hAnsi="Arial"/>
                <w:sz w:val="15"/>
                <w:szCs w:val="15"/>
                <w:b w:val="1"/>
                <w:bCs w:val="1"/>
                <w:color w:val="auto"/>
              </w:rPr>
              <w:t>2025 Base Salary</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228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b w:val="1"/>
                <w:bCs w:val="1"/>
                <w:color w:val="auto"/>
              </w:rPr>
              <w:t>​ ​</w:t>
            </w: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E5E5E5"/>
          </w:tcPr>
          <w:p>
            <w:pPr>
              <w:ind w:left="60"/>
              <w:spacing w:after="0"/>
              <w:rPr>
                <w:sz w:val="20"/>
                <w:szCs w:val="20"/>
                <w:color w:val="auto"/>
              </w:rPr>
            </w:pPr>
            <w:r>
              <w:rPr>
                <w:rFonts w:ascii="Arial" w:cs="Arial" w:eastAsia="Arial" w:hAnsi="Arial"/>
                <w:sz w:val="15"/>
                <w:szCs w:val="15"/>
                <w:color w:val="auto"/>
              </w:rPr>
              <w:t>​Fadel</w:t>
            </w:r>
          </w:p>
        </w:tc>
        <w:tc>
          <w:tcPr>
            <w:tcW w:w="2620" w:type="dxa"/>
            <w:vAlign w:val="bottom"/>
            <w:gridSpan w:val="2"/>
            <w:shd w:val="clear" w:color="auto" w:fill="E5E5E5"/>
          </w:tcPr>
          <w:p>
            <w:pPr>
              <w:jc w:val="right"/>
              <w:ind w:right="164"/>
              <w:spacing w:after="0"/>
              <w:rPr>
                <w:sz w:val="20"/>
                <w:szCs w:val="20"/>
                <w:color w:val="auto"/>
              </w:rPr>
            </w:pPr>
            <w:r>
              <w:rPr>
                <w:rFonts w:ascii="Arial" w:cs="Arial" w:eastAsia="Arial" w:hAnsi="Arial"/>
                <w:sz w:val="15"/>
                <w:szCs w:val="15"/>
                <w:color w:val="auto"/>
              </w:rPr>
              <w:t>​ ​​ $</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1,100,000​​ ​</w:t>
            </w:r>
          </w:p>
        </w:tc>
        <w:tc>
          <w:tcPr>
            <w:tcW w:w="8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5%</w:t>
            </w:r>
          </w:p>
        </w:tc>
        <w:tc>
          <w:tcPr>
            <w:tcW w:w="16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E5E5E5"/>
          </w:tcPr>
          <w:p>
            <w:pPr>
              <w:jc w:val="right"/>
              <w:ind w:right="164"/>
              <w:spacing w:after="0"/>
              <w:rPr>
                <w:sz w:val="20"/>
                <w:szCs w:val="20"/>
                <w:color w:val="auto"/>
              </w:rPr>
            </w:pPr>
            <w:r>
              <w:rPr>
                <w:rFonts w:ascii="Arial" w:cs="Arial" w:eastAsia="Arial" w:hAnsi="Arial"/>
                <w:sz w:val="15"/>
                <w:szCs w:val="15"/>
                <w:color w:val="auto"/>
              </w:rPr>
              <w:t>​ ​ $</w:t>
            </w:r>
          </w:p>
        </w:tc>
        <w:tc>
          <w:tcPr>
            <w:tcW w:w="10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1,155,000​​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2780" w:type="dxa"/>
            <w:vAlign w:val="bottom"/>
          </w:tcPr>
          <w:p>
            <w:pPr>
              <w:ind w:left="20"/>
              <w:spacing w:after="0" w:line="189" w:lineRule="exact"/>
              <w:rPr>
                <w:sz w:val="20"/>
                <w:szCs w:val="20"/>
                <w:color w:val="auto"/>
              </w:rPr>
            </w:pPr>
            <w:r>
              <w:rPr>
                <w:rFonts w:ascii="Arial" w:cs="Arial" w:eastAsia="Arial" w:hAnsi="Arial"/>
                <w:sz w:val="15"/>
                <w:szCs w:val="15"/>
                <w:color w:val="auto"/>
              </w:rPr>
              <w:t>Karam</w:t>
            </w:r>
            <w:r>
              <w:rPr>
                <w:rFonts w:ascii="Arial" w:cs="Arial" w:eastAsia="Arial" w:hAnsi="Arial"/>
                <w:sz w:val="19"/>
                <w:szCs w:val="19"/>
                <w:color w:val="auto"/>
                <w:vertAlign w:val="superscript"/>
              </w:rPr>
              <w:t>(1)</w:t>
            </w:r>
          </w:p>
        </w:tc>
        <w:tc>
          <w:tcPr>
            <w:tcW w:w="228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1,040,000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860" w:type="dxa"/>
            <w:vAlign w:val="bottom"/>
          </w:tcPr>
          <w:p>
            <w:pPr>
              <w:jc w:val="right"/>
              <w:spacing w:after="0"/>
              <w:rPr>
                <w:sz w:val="20"/>
                <w:szCs w:val="20"/>
                <w:color w:val="auto"/>
              </w:rPr>
            </w:pPr>
            <w:r>
              <w:rPr>
                <w:rFonts w:ascii="Arial" w:cs="Arial" w:eastAsia="Arial" w:hAnsi="Arial"/>
                <w:sz w:val="15"/>
                <w:szCs w:val="15"/>
                <w:color w:val="auto"/>
              </w:rPr>
              <w:t>3.5%</w:t>
            </w:r>
          </w:p>
        </w:tc>
        <w:tc>
          <w:tcPr>
            <w:tcW w:w="16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56"/>
              <w:spacing w:after="0"/>
              <w:rPr>
                <w:sz w:val="20"/>
                <w:szCs w:val="20"/>
                <w:color w:val="auto"/>
              </w:rPr>
            </w:pPr>
            <w:r>
              <w:rPr>
                <w:rFonts w:ascii="Arial" w:cs="Arial" w:eastAsia="Arial" w:hAnsi="Arial"/>
                <w:sz w:val="15"/>
                <w:szCs w:val="15"/>
                <w:color w:val="auto"/>
              </w:rPr>
              <w:t>1,076,500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278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jc w:val="right"/>
              <w:spacing w:after="0" w:line="54"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restart"/>
            <w:shd w:val="clear" w:color="auto" w:fill="E5E5E5"/>
          </w:tcPr>
          <w:p>
            <w:pPr>
              <w:ind w:left="60"/>
              <w:spacing w:after="0"/>
              <w:rPr>
                <w:sz w:val="20"/>
                <w:szCs w:val="20"/>
                <w:color w:val="auto"/>
              </w:rPr>
            </w:pPr>
            <w:r>
              <w:rPr>
                <w:rFonts w:ascii="Arial" w:cs="Arial" w:eastAsia="Arial" w:hAnsi="Arial"/>
                <w:sz w:val="15"/>
                <w:szCs w:val="15"/>
                <w:color w:val="auto"/>
              </w:rPr>
              <w:t>​</w:t>
            </w:r>
          </w:p>
        </w:tc>
        <w:tc>
          <w:tcPr>
            <w:tcW w:w="2780" w:type="dxa"/>
            <w:vAlign w:val="bottom"/>
            <w:shd w:val="clear" w:color="auto" w:fill="E5E5E5"/>
          </w:tcPr>
          <w:p>
            <w:pPr>
              <w:ind w:left="20"/>
              <w:spacing w:after="0" w:line="189" w:lineRule="exact"/>
              <w:rPr>
                <w:sz w:val="20"/>
                <w:szCs w:val="20"/>
                <w:color w:val="auto"/>
              </w:rPr>
            </w:pPr>
            <w:r>
              <w:rPr>
                <w:rFonts w:ascii="Arial" w:cs="Arial" w:eastAsia="Arial" w:hAnsi="Arial"/>
                <w:sz w:val="15"/>
                <w:szCs w:val="15"/>
                <w:color w:val="auto"/>
              </w:rPr>
              <w:t>Khouri</w:t>
            </w:r>
            <w:r>
              <w:rPr>
                <w:rFonts w:ascii="Arial" w:cs="Arial" w:eastAsia="Arial" w:hAnsi="Arial"/>
                <w:sz w:val="19"/>
                <w:szCs w:val="19"/>
                <w:color w:val="auto"/>
                <w:vertAlign w:val="superscript"/>
              </w:rPr>
              <w:t>(2)</w:t>
            </w:r>
          </w:p>
        </w:tc>
        <w:tc>
          <w:tcPr>
            <w:tcW w:w="228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340" w:type="dxa"/>
            <w:vAlign w:val="bottom"/>
            <w:shd w:val="clear" w:color="auto" w:fill="E5E5E5"/>
          </w:tcPr>
          <w:p>
            <w:pPr>
              <w:jc w:val="right"/>
              <w:ind w:right="1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26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8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160" w:type="dxa"/>
            <w:vAlign w:val="bottom"/>
            <w:vMerge w:val="restart"/>
            <w:shd w:val="clear" w:color="auto" w:fill="E5E5E5"/>
          </w:tcPr>
          <w:p>
            <w:pPr>
              <w:ind w:left="4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360" w:type="dxa"/>
            <w:vAlign w:val="bottom"/>
            <w:shd w:val="clear" w:color="auto" w:fill="E5E5E5"/>
          </w:tcPr>
          <w:p>
            <w:pPr>
              <w:jc w:val="right"/>
              <w:ind w:right="16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5E5E5"/>
          </w:tcPr>
          <w:p>
            <w:pPr>
              <w:jc w:val="right"/>
              <w:ind w:right="56"/>
              <w:spacing w:after="0"/>
              <w:rPr>
                <w:sz w:val="20"/>
                <w:szCs w:val="20"/>
                <w:color w:val="auto"/>
              </w:rPr>
            </w:pPr>
            <w:r>
              <w:rPr>
                <w:rFonts w:ascii="Arial" w:cs="Arial" w:eastAsia="Arial" w:hAnsi="Arial"/>
                <w:sz w:val="15"/>
                <w:szCs w:val="15"/>
                <w:color w:val="auto"/>
              </w:rPr>
              <w:t>675,000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shd w:val="clear" w:color="auto" w:fill="E5E5E5"/>
          </w:tcPr>
          <w:p>
            <w:pPr>
              <w:spacing w:after="0"/>
              <w:rPr>
                <w:sz w:val="4"/>
                <w:szCs w:val="4"/>
                <w:color w:val="auto"/>
              </w:rPr>
            </w:pPr>
          </w:p>
        </w:tc>
        <w:tc>
          <w:tcPr>
            <w:tcW w:w="2780" w:type="dxa"/>
            <w:vAlign w:val="bottom"/>
            <w:shd w:val="clear" w:color="auto" w:fill="E5E5E5"/>
          </w:tcPr>
          <w:p>
            <w:pPr>
              <w:spacing w:after="0"/>
              <w:rPr>
                <w:sz w:val="4"/>
                <w:szCs w:val="4"/>
                <w:color w:val="auto"/>
              </w:rPr>
            </w:pPr>
          </w:p>
        </w:tc>
        <w:tc>
          <w:tcPr>
            <w:tcW w:w="2280" w:type="dxa"/>
            <w:vAlign w:val="bottom"/>
            <w:vMerge w:val="continue"/>
            <w:shd w:val="clear" w:color="auto" w:fill="E5E5E5"/>
          </w:tcPr>
          <w:p>
            <w:pPr>
              <w:spacing w:after="0"/>
              <w:rPr>
                <w:sz w:val="4"/>
                <w:szCs w:val="4"/>
                <w:color w:val="auto"/>
              </w:rPr>
            </w:pPr>
          </w:p>
        </w:tc>
        <w:tc>
          <w:tcPr>
            <w:tcW w:w="340" w:type="dxa"/>
            <w:vAlign w:val="bottom"/>
            <w:shd w:val="clear" w:color="auto" w:fill="E5E5E5"/>
          </w:tcPr>
          <w:p>
            <w:pPr>
              <w:spacing w:after="0"/>
              <w:rPr>
                <w:sz w:val="4"/>
                <w:szCs w:val="4"/>
                <w:color w:val="auto"/>
              </w:rPr>
            </w:pPr>
          </w:p>
        </w:tc>
        <w:tc>
          <w:tcPr>
            <w:tcW w:w="900" w:type="dxa"/>
            <w:vAlign w:val="bottom"/>
            <w:shd w:val="clear" w:color="auto" w:fill="E5E5E5"/>
          </w:tcPr>
          <w:p>
            <w:pPr>
              <w:spacing w:after="0"/>
              <w:rPr>
                <w:sz w:val="4"/>
                <w:szCs w:val="4"/>
                <w:color w:val="auto"/>
              </w:rPr>
            </w:pPr>
          </w:p>
        </w:tc>
        <w:tc>
          <w:tcPr>
            <w:tcW w:w="260" w:type="dxa"/>
            <w:vAlign w:val="bottom"/>
            <w:vMerge w:val="continue"/>
            <w:shd w:val="clear" w:color="auto" w:fill="E5E5E5"/>
          </w:tcPr>
          <w:p>
            <w:pPr>
              <w:spacing w:after="0"/>
              <w:rPr>
                <w:sz w:val="4"/>
                <w:szCs w:val="4"/>
                <w:color w:val="auto"/>
              </w:rPr>
            </w:pPr>
          </w:p>
        </w:tc>
        <w:tc>
          <w:tcPr>
            <w:tcW w:w="860" w:type="dxa"/>
            <w:vAlign w:val="bottom"/>
            <w:shd w:val="clear" w:color="auto" w:fill="E5E5E5"/>
          </w:tcPr>
          <w:p>
            <w:pPr>
              <w:spacing w:after="0"/>
              <w:rPr>
                <w:sz w:val="4"/>
                <w:szCs w:val="4"/>
                <w:color w:val="auto"/>
              </w:rPr>
            </w:pPr>
          </w:p>
        </w:tc>
        <w:tc>
          <w:tcPr>
            <w:tcW w:w="160" w:type="dxa"/>
            <w:vAlign w:val="bottom"/>
            <w:vMerge w:val="continue"/>
            <w:shd w:val="clear" w:color="auto" w:fill="E5E5E5"/>
          </w:tcPr>
          <w:p>
            <w:pPr>
              <w:spacing w:after="0"/>
              <w:rPr>
                <w:sz w:val="4"/>
                <w:szCs w:val="4"/>
                <w:color w:val="auto"/>
              </w:rPr>
            </w:pPr>
          </w:p>
        </w:tc>
        <w:tc>
          <w:tcPr>
            <w:tcW w:w="140" w:type="dxa"/>
            <w:vAlign w:val="bottom"/>
            <w:vMerge w:val="continue"/>
            <w:shd w:val="clear" w:color="auto" w:fill="E5E5E5"/>
          </w:tcPr>
          <w:p>
            <w:pPr>
              <w:spacing w:after="0"/>
              <w:rPr>
                <w:sz w:val="4"/>
                <w:szCs w:val="4"/>
                <w:color w:val="auto"/>
              </w:rPr>
            </w:pPr>
          </w:p>
        </w:tc>
        <w:tc>
          <w:tcPr>
            <w:tcW w:w="360" w:type="dxa"/>
            <w:vAlign w:val="bottom"/>
            <w:shd w:val="clear" w:color="auto" w:fill="E5E5E5"/>
          </w:tcPr>
          <w:p>
            <w:pPr>
              <w:spacing w:after="0"/>
              <w:rPr>
                <w:sz w:val="4"/>
                <w:szCs w:val="4"/>
                <w:color w:val="auto"/>
              </w:rPr>
            </w:pPr>
          </w:p>
        </w:tc>
        <w:tc>
          <w:tcPr>
            <w:tcW w:w="1020" w:type="dxa"/>
            <w:vAlign w:val="bottom"/>
            <w:shd w:val="clear" w:color="auto" w:fill="E5E5E5"/>
          </w:tcPr>
          <w:p>
            <w:pPr>
              <w:jc w:val="right"/>
              <w:spacing w:after="0" w:line="54"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60"/>
              <w:spacing w:after="0"/>
              <w:rPr>
                <w:sz w:val="20"/>
                <w:szCs w:val="20"/>
                <w:color w:val="auto"/>
              </w:rPr>
            </w:pPr>
            <w:r>
              <w:rPr>
                <w:rFonts w:ascii="Arial" w:cs="Arial" w:eastAsia="Arial" w:hAnsi="Arial"/>
                <w:sz w:val="15"/>
                <w:szCs w:val="15"/>
                <w:color w:val="auto"/>
              </w:rPr>
              <w:t>​Montrone</w:t>
            </w:r>
          </w:p>
        </w:tc>
        <w:tc>
          <w:tcPr>
            <w:tcW w:w="2620" w:type="dxa"/>
            <w:vAlign w:val="bottom"/>
            <w:gridSpan w:val="2"/>
          </w:tcPr>
          <w:p>
            <w:pPr>
              <w:jc w:val="right"/>
              <w:ind w:right="164"/>
              <w:spacing w:after="0"/>
              <w:rPr>
                <w:sz w:val="20"/>
                <w:szCs w:val="20"/>
                <w:color w:val="auto"/>
              </w:rPr>
            </w:pPr>
            <w:r>
              <w:rPr>
                <w:rFonts w:ascii="Arial" w:cs="Arial" w:eastAsia="Arial" w:hAnsi="Arial"/>
                <w:sz w:val="15"/>
                <w:szCs w:val="15"/>
                <w:color w:val="auto"/>
              </w:rPr>
              <w:t>​ ​​ $</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475,000​​ ​</w:t>
            </w:r>
          </w:p>
        </w:tc>
        <w:tc>
          <w:tcPr>
            <w:tcW w:w="860" w:type="dxa"/>
            <w:vAlign w:val="bottom"/>
          </w:tcPr>
          <w:p>
            <w:pPr>
              <w:jc w:val="right"/>
              <w:spacing w:after="0"/>
              <w:rPr>
                <w:sz w:val="20"/>
                <w:szCs w:val="20"/>
                <w:color w:val="auto"/>
              </w:rPr>
            </w:pPr>
            <w:r>
              <w:rPr>
                <w:rFonts w:ascii="Arial" w:cs="Arial" w:eastAsia="Arial" w:hAnsi="Arial"/>
                <w:sz w:val="15"/>
                <w:szCs w:val="15"/>
                <w:color w:val="auto"/>
              </w:rPr>
              <w:t>3.1%</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64"/>
              <w:spacing w:after="0"/>
              <w:rPr>
                <w:sz w:val="20"/>
                <w:szCs w:val="20"/>
                <w:color w:val="auto"/>
              </w:rPr>
            </w:pPr>
            <w:r>
              <w:rPr>
                <w:rFonts w:ascii="Arial" w:cs="Arial" w:eastAsia="Arial" w:hAnsi="Arial"/>
                <w:sz w:val="15"/>
                <w:szCs w:val="15"/>
                <w:color w:val="auto"/>
              </w:rPr>
              <w:t>​ ​ $</w:t>
            </w:r>
          </w:p>
        </w:tc>
        <w:tc>
          <w:tcPr>
            <w:tcW w:w="1020" w:type="dxa"/>
            <w:vAlign w:val="bottom"/>
          </w:tcPr>
          <w:p>
            <w:pPr>
              <w:jc w:val="right"/>
              <w:spacing w:after="0"/>
              <w:rPr>
                <w:sz w:val="20"/>
                <w:szCs w:val="20"/>
                <w:color w:val="auto"/>
              </w:rPr>
            </w:pPr>
            <w:r>
              <w:rPr>
                <w:rFonts w:ascii="Arial" w:cs="Arial" w:eastAsia="Arial" w:hAnsi="Arial"/>
                <w:sz w:val="15"/>
                <w:szCs w:val="15"/>
                <w:color w:val="auto"/>
              </w:rPr>
              <w:t>489,500​​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E5E5E5"/>
          </w:tcPr>
          <w:p>
            <w:pPr>
              <w:ind w:left="60"/>
              <w:spacing w:after="0"/>
              <w:rPr>
                <w:sz w:val="20"/>
                <w:szCs w:val="20"/>
                <w:color w:val="auto"/>
              </w:rPr>
            </w:pPr>
            <w:r>
              <w:rPr>
                <w:rFonts w:ascii="Arial" w:cs="Arial" w:eastAsia="Arial" w:hAnsi="Arial"/>
                <w:sz w:val="15"/>
                <w:szCs w:val="15"/>
                <w:color w:val="auto"/>
              </w:rPr>
              <w:t>​Blasquez</w:t>
            </w:r>
          </w:p>
        </w:tc>
        <w:tc>
          <w:tcPr>
            <w:tcW w:w="2620" w:type="dxa"/>
            <w:vAlign w:val="bottom"/>
            <w:gridSpan w:val="2"/>
            <w:shd w:val="clear" w:color="auto" w:fill="E5E5E5"/>
          </w:tcPr>
          <w:p>
            <w:pPr>
              <w:jc w:val="right"/>
              <w:ind w:right="164"/>
              <w:spacing w:after="0"/>
              <w:rPr>
                <w:sz w:val="20"/>
                <w:szCs w:val="20"/>
                <w:color w:val="auto"/>
              </w:rPr>
            </w:pPr>
            <w:r>
              <w:rPr>
                <w:rFonts w:ascii="Arial" w:cs="Arial" w:eastAsia="Arial" w:hAnsi="Arial"/>
                <w:sz w:val="15"/>
                <w:szCs w:val="15"/>
                <w:color w:val="auto"/>
              </w:rPr>
              <w:t>​ ​​ $</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475,000​​ ​</w:t>
            </w:r>
          </w:p>
        </w:tc>
        <w:tc>
          <w:tcPr>
            <w:tcW w:w="8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E5E5E5"/>
          </w:tcPr>
          <w:p>
            <w:pPr>
              <w:jc w:val="right"/>
              <w:ind w:right="164"/>
              <w:spacing w:after="0"/>
              <w:rPr>
                <w:sz w:val="20"/>
                <w:szCs w:val="20"/>
                <w:color w:val="auto"/>
              </w:rPr>
            </w:pPr>
            <w:r>
              <w:rPr>
                <w:rFonts w:ascii="Arial" w:cs="Arial" w:eastAsia="Arial" w:hAnsi="Arial"/>
                <w:sz w:val="15"/>
                <w:szCs w:val="15"/>
                <w:color w:val="auto"/>
              </w:rPr>
              <w:t>​ ​ $</w:t>
            </w:r>
          </w:p>
        </w:tc>
        <w:tc>
          <w:tcPr>
            <w:tcW w:w="10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484,500​​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​Pechersky</w:t>
            </w:r>
          </w:p>
        </w:tc>
        <w:tc>
          <w:tcPr>
            <w:tcW w:w="262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5"/>
                <w:szCs w:val="15"/>
                <w:color w:val="auto"/>
              </w:rPr>
              <w:t>​ ​​ $</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430,000​​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5"/>
                <w:szCs w:val="15"/>
                <w:color w:val="auto"/>
              </w:rPr>
              <w:t>​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20" w:hanging="358"/>
        <w:spacing w:after="0"/>
        <w:tabs>
          <w:tab w:leader="none" w:pos="11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Mr. Karam was appointed Chief Executive Officer on June 1, 2025, at which time his base salary was increased to $1,100,000.</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Mr. Khouri joined the Company in November 2025 and did not receive a base salary or other compensation in 2024.</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Annual Cash Incentive Compensation</w:t>
      </w:r>
    </w:p>
    <w:p>
      <w:pPr>
        <w:spacing w:after="0" w:line="162" w:lineRule="exact"/>
        <w:rPr>
          <w:sz w:val="20"/>
          <w:szCs w:val="20"/>
          <w:color w:val="auto"/>
        </w:rPr>
      </w:pPr>
    </w:p>
    <w:p>
      <w:pPr>
        <w:jc w:val="both"/>
        <w:ind w:left="760" w:right="40"/>
        <w:spacing w:after="0" w:line="255" w:lineRule="auto"/>
        <w:rPr>
          <w:sz w:val="20"/>
          <w:szCs w:val="20"/>
          <w:color w:val="auto"/>
        </w:rPr>
      </w:pPr>
      <w:r>
        <w:rPr>
          <w:rFonts w:ascii="Arial" w:cs="Arial" w:eastAsia="Arial" w:hAnsi="Arial"/>
          <w:sz w:val="16"/>
          <w:szCs w:val="16"/>
          <w:color w:val="auto"/>
        </w:rPr>
        <w:t>The Compensation Committee maintains an annual incentive compensation program for our named executive officers that provides for awards in the form of a cash incentive. These cash incentives provide our named executive officers with financial rewards based upon achievement of specified annual objectives, which the Compensation Committee believes will ultimately increase the value of our Company by aligning our executive compensation with the achievement of annual Company performance objectives, as well as help us retain our named executive officers by providing attractive compensation opportunities.</w:t>
      </w:r>
    </w:p>
    <w:p>
      <w:pPr>
        <w:spacing w:after="0" w:line="292"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6"/>
          <w:szCs w:val="16"/>
          <w:color w:val="auto"/>
        </w:rPr>
        <w:t>Under our annual cash incentive program, target cash incentive opportunity is established at a pre-determined percentage of the named executive officer’s base salary, with such percentage amount set in accordance with the named executive officer’s position and responsibilities with us. The ultimate payouts pursuant to our annual cash incentive program for prior year performance are typically approved by the Compensation Committee in February at the same time that all compensation (including base salaries, target annual cash incentive compensation, and target long-term incentive compensation) for our named executive officers for the current year is reviewed and approved. This timing enables the Compensation Committee to evaluate the named executive officer’s performance during the prior year, as well as determine</w:t>
      </w:r>
    </w:p>
    <w:p>
      <w:pPr>
        <w:spacing w:after="0" w:line="200" w:lineRule="exact"/>
        <w:rPr>
          <w:sz w:val="20"/>
          <w:szCs w:val="20"/>
          <w:color w:val="auto"/>
        </w:rPr>
      </w:pPr>
    </w:p>
    <w:p>
      <w:pPr>
        <w:spacing w:after="0" w:line="243"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34</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ind w:left="760" w:right="40"/>
        <w:spacing w:after="0" w:line="286" w:lineRule="auto"/>
        <w:rPr>
          <w:sz w:val="20"/>
          <w:szCs w:val="20"/>
          <w:color w:val="auto"/>
        </w:rPr>
      </w:pPr>
      <w:r>
        <w:rPr>
          <w:rFonts w:ascii="Arial" w:cs="Arial" w:eastAsia="Arial" w:hAnsi="Arial"/>
          <w:sz w:val="16"/>
          <w:szCs w:val="16"/>
          <w:color w:val="auto"/>
        </w:rPr>
        <w:t>performance targets for the new fiscal year in light of the previous year’s performance. Payouts under the plan may range from 0% to 200% of target annual cash incentive compensation.</w:t>
      </w:r>
    </w:p>
    <w:p>
      <w:pPr>
        <w:spacing w:after="0" w:line="102" w:lineRule="exact"/>
        <w:rPr>
          <w:sz w:val="20"/>
          <w:szCs w:val="20"/>
          <w:color w:val="auto"/>
        </w:rPr>
      </w:pPr>
    </w:p>
    <w:p>
      <w:pPr>
        <w:ind w:left="760" w:right="40"/>
        <w:spacing w:after="0" w:line="286" w:lineRule="auto"/>
        <w:rPr>
          <w:sz w:val="20"/>
          <w:szCs w:val="20"/>
          <w:color w:val="auto"/>
        </w:rPr>
      </w:pPr>
      <w:r>
        <w:rPr>
          <w:rFonts w:ascii="Arial" w:cs="Arial" w:eastAsia="Arial" w:hAnsi="Arial"/>
          <w:sz w:val="16"/>
          <w:szCs w:val="16"/>
          <w:color w:val="auto"/>
        </w:rPr>
        <w:t>The annual cash incentive program for 2025 included three financial performance metrics focused on annual top line performance and profitability:</w:t>
      </w:r>
    </w:p>
    <w:p>
      <w:pPr>
        <w:spacing w:after="0" w:line="61" w:lineRule="exact"/>
        <w:rPr>
          <w:sz w:val="20"/>
          <w:szCs w:val="20"/>
          <w:color w:val="auto"/>
        </w:rPr>
      </w:pPr>
    </w:p>
    <w:p>
      <w:pPr>
        <w:jc w:val="both"/>
        <w:ind w:left="940" w:right="40" w:hanging="178"/>
        <w:spacing w:after="0" w:line="269" w:lineRule="auto"/>
        <w:tabs>
          <w:tab w:leader="none" w:pos="9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Adjusted EBITDA — </w:t>
      </w:r>
      <w:r>
        <w:rPr>
          <w:rFonts w:ascii="Arial" w:cs="Arial" w:eastAsia="Arial" w:hAnsi="Arial"/>
          <w:sz w:val="16"/>
          <w:szCs w:val="16"/>
          <w:color w:val="auto"/>
        </w:rPr>
        <w:t>The Compensation Committee included an Adjusted EBITDA target in the annual cash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because it believes Adjusted EBITDA generally represents an accurate indicator of our core financial performance and profitability over a one-year period of time, while excluding the impact of items such as interest, depreciation and stock-based compensation expense, which can vary significantly and other adjustments that are not considered to reflect the performance of our core business operations.</w:t>
      </w:r>
    </w:p>
    <w:p>
      <w:pPr>
        <w:spacing w:after="0" w:line="62"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Acima Segment Revenue — </w:t>
      </w:r>
      <w:r>
        <w:rPr>
          <w:rFonts w:ascii="Arial" w:cs="Arial" w:eastAsia="Arial" w:hAnsi="Arial"/>
          <w:sz w:val="16"/>
          <w:szCs w:val="16"/>
          <w:color w:val="auto"/>
        </w:rPr>
        <w:t>For our Acima segment, the Compensation Committee determined that revenue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was an appropriate metric for top line performance of each of our largest business segments.</w:t>
      </w:r>
    </w:p>
    <w:p>
      <w:pPr>
        <w:spacing w:after="0" w:line="46" w:lineRule="exact"/>
        <w:rPr>
          <w:rFonts w:ascii="Arial" w:cs="Arial" w:eastAsia="Arial" w:hAnsi="Arial"/>
          <w:sz w:val="16"/>
          <w:szCs w:val="16"/>
          <w:color w:val="auto"/>
        </w:rPr>
      </w:pPr>
    </w:p>
    <w:p>
      <w:pPr>
        <w:jc w:val="both"/>
        <w:ind w:left="940" w:right="40" w:hanging="178"/>
        <w:spacing w:after="0" w:line="275" w:lineRule="auto"/>
        <w:tabs>
          <w:tab w:leader="none" w:pos="9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Rent-A-Center Segment Revenue — </w:t>
      </w:r>
      <w:r>
        <w:rPr>
          <w:rFonts w:ascii="Arial" w:cs="Arial" w:eastAsia="Arial" w:hAnsi="Arial"/>
          <w:sz w:val="16"/>
          <w:szCs w:val="16"/>
          <w:color w:val="auto"/>
        </w:rPr>
        <w:t>The Compensation Committee included a Rent-A-Center segment revenue target in</w:t>
      </w:r>
      <w:r>
        <w:rPr>
          <w:rFonts w:ascii="Arial" w:cs="Arial" w:eastAsia="Arial" w:hAnsi="Arial"/>
          <w:sz w:val="16"/>
          <w:szCs w:val="16"/>
          <w:b w:val="1"/>
          <w:bCs w:val="1"/>
          <w:color w:val="auto"/>
        </w:rPr>
        <w:t xml:space="preserve"> </w:t>
      </w:r>
      <w:r>
        <w:rPr>
          <w:rFonts w:ascii="Arial" w:cs="Arial" w:eastAsia="Arial" w:hAnsi="Arial"/>
          <w:sz w:val="16"/>
          <w:szCs w:val="16"/>
          <w:color w:val="auto"/>
        </w:rPr>
        <w:t>2025, which reflects its belief that a portion of the cash bonus opportunity should be based on our top line performance for each of our largest business segments.</w:t>
      </w:r>
    </w:p>
    <w:p>
      <w:pPr>
        <w:spacing w:after="0" w:line="97"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The financial performance targets for the 2025 annual cash incentive program were established in February 2025 following a review of our financial projections developed pursuant to our strategic plan and objectives for 2025. In setting the performance targets under the 2025 annual cash incentive program, the Compensation Committee considered the level of actual achievement of the targets for the 2024 annual cash incentive program, the level of the Company’s anticipated investment in its strategic initiatives for 2025, the impact of the Brigit acquisition (which closed on January 31, 2025), sensitivities for the key business drivers that may impact achievement of the targets and the Compensation Committee’s goal to ensure a rigorous target-setting process. Based upon that review, the Compensation Committee established the following threshold, target and maximum payout achievement levels for each metric in the 2025 annual cash incentive program:</w:t>
      </w:r>
    </w:p>
    <w:p>
      <w:pPr>
        <w:spacing w:after="0" w:line="144"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3440" w:type="dxa"/>
            <w:vAlign w:val="bottom"/>
            <w:tcBorders>
              <w:top w:val="single" w:sz="8" w:color="auto"/>
              <w:left w:val="single" w:sz="8" w:color="auto"/>
              <w:bottom w:val="single" w:sz="8" w:color="auto"/>
            </w:tcBorders>
            <w:shd w:val="clear" w:color="auto" w:fill="E5E5E5"/>
          </w:tcPr>
          <w:p>
            <w:pPr>
              <w:ind w:left="20"/>
              <w:spacing w:after="0" w:line="297"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Metric</w:t>
            </w:r>
          </w:p>
        </w:tc>
        <w:tc>
          <w:tcPr>
            <w:tcW w:w="1160" w:type="dxa"/>
            <w:vAlign w:val="bottom"/>
            <w:tcBorders>
              <w:top w:val="single" w:sz="8" w:color="auto"/>
              <w:bottom w:val="single" w:sz="8" w:color="auto"/>
              <w:right w:val="single" w:sz="8" w:color="auto"/>
            </w:tcBorders>
            <w:shd w:val="clear" w:color="auto" w:fill="E5E5E5"/>
          </w:tcPr>
          <w:p>
            <w:pPr>
              <w:ind w:left="1040"/>
              <w:spacing w:after="0"/>
              <w:rPr>
                <w:sz w:val="20"/>
                <w:szCs w:val="20"/>
                <w:color w:val="auto"/>
              </w:rPr>
            </w:pPr>
            <w:r>
              <w:rPr>
                <w:rFonts w:ascii="Arial" w:cs="Arial" w:eastAsia="Arial" w:hAnsi="Arial"/>
                <w:sz w:val="15"/>
                <w:szCs w:val="15"/>
                <w:b w:val="1"/>
                <w:bCs w:val="1"/>
                <w:color w:val="auto"/>
              </w:rPr>
              <w:t>​</w:t>
            </w:r>
          </w:p>
        </w:tc>
        <w:tc>
          <w:tcPr>
            <w:tcW w:w="4020" w:type="dxa"/>
            <w:vAlign w:val="bottom"/>
            <w:tcBorders>
              <w:top w:val="single" w:sz="8" w:color="auto"/>
              <w:bottom w:val="single" w:sz="8" w:color="auto"/>
            </w:tcBorders>
            <w:shd w:val="clear" w:color="auto" w:fill="E5E5E5"/>
          </w:tcPr>
          <w:p>
            <w:pPr>
              <w:spacing w:after="0" w:line="297"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Performance Levels</w:t>
            </w:r>
          </w:p>
        </w:tc>
        <w:tc>
          <w:tcPr>
            <w:tcW w:w="580" w:type="dxa"/>
            <w:vAlign w:val="bottom"/>
            <w:tcBorders>
              <w:top w:val="single" w:sz="8" w:color="auto"/>
              <w:bottom w:val="single" w:sz="8" w:color="auto"/>
              <w:right w:val="single" w:sz="8" w:color="auto"/>
            </w:tcBorders>
            <w:shd w:val="clear" w:color="auto" w:fill="E5E5E5"/>
          </w:tcPr>
          <w:p>
            <w:pPr>
              <w:ind w:left="460"/>
              <w:spacing w:after="0"/>
              <w:rPr>
                <w:sz w:val="20"/>
                <w:szCs w:val="20"/>
                <w:color w:val="auto"/>
              </w:rPr>
            </w:pPr>
            <w:r>
              <w:rPr>
                <w:rFonts w:ascii="Arial" w:cs="Arial" w:eastAsia="Arial" w:hAnsi="Arial"/>
                <w:sz w:val="15"/>
                <w:szCs w:val="15"/>
                <w:b w:val="1"/>
                <w:bCs w:val="1"/>
                <w:color w:val="auto"/>
              </w:rPr>
              <w:t>​</w:t>
            </w:r>
          </w:p>
        </w:tc>
      </w:tr>
      <w:tr>
        <w:trPr>
          <w:trHeight w:val="233"/>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 Adjusted EBITDA</w:t>
            </w:r>
            <w:r>
              <w:rPr>
                <w:rFonts w:ascii="Arial" w:cs="Arial" w:eastAsia="Arial" w:hAnsi="Arial"/>
                <w:sz w:val="19"/>
                <w:szCs w:val="19"/>
                <w:color w:val="auto"/>
                <w:vertAlign w:val="superscript"/>
              </w:rPr>
              <w:t>(1)</w:t>
            </w:r>
          </w:p>
        </w:tc>
        <w:tc>
          <w:tcPr>
            <w:tcW w:w="1160" w:type="dxa"/>
            <w:vAlign w:val="bottom"/>
            <w:tcBorders>
              <w:right w:val="single" w:sz="8" w:color="auto"/>
            </w:tcBorders>
          </w:tcPr>
          <w:p>
            <w:pPr>
              <w:ind w:left="1040"/>
              <w:spacing w:after="0"/>
              <w:rPr>
                <w:sz w:val="20"/>
                <w:szCs w:val="20"/>
                <w:color w:val="auto"/>
              </w:rPr>
            </w:pPr>
            <w:r>
              <w:rPr>
                <w:rFonts w:ascii="Arial" w:cs="Arial" w:eastAsia="Arial" w:hAnsi="Arial"/>
                <w:sz w:val="15"/>
                <w:szCs w:val="15"/>
                <w:color w:val="auto"/>
              </w:rPr>
              <w:t>​</w:t>
            </w:r>
          </w:p>
        </w:tc>
        <w:tc>
          <w:tcPr>
            <w:tcW w:w="4020" w:type="dxa"/>
            <w:vAlign w:val="bottom"/>
          </w:tcPr>
          <w:p>
            <w:pPr>
              <w:spacing w:after="0"/>
              <w:rPr>
                <w:sz w:val="20"/>
                <w:szCs w:val="20"/>
                <w:color w:val="auto"/>
              </w:rPr>
            </w:pPr>
            <w:r>
              <w:rPr>
                <w:rFonts w:ascii="Arial" w:cs="Arial" w:eastAsia="Arial" w:hAnsi="Arial"/>
                <w:sz w:val="15"/>
                <w:szCs w:val="15"/>
                <w:color w:val="auto"/>
              </w:rPr>
              <w:t>​ Threshold — Less than $468 million</w:t>
            </w:r>
          </w:p>
        </w:tc>
        <w:tc>
          <w:tcPr>
            <w:tcW w:w="58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w:t>
            </w:r>
          </w:p>
        </w:tc>
      </w:tr>
      <w:tr>
        <w:trPr>
          <w:trHeight w:val="200"/>
        </w:trPr>
        <w:tc>
          <w:tcPr>
            <w:tcW w:w="344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020" w:type="dxa"/>
            <w:vAlign w:val="bottom"/>
          </w:tcPr>
          <w:p>
            <w:pPr>
              <w:ind w:left="80"/>
              <w:spacing w:after="0"/>
              <w:rPr>
                <w:sz w:val="20"/>
                <w:szCs w:val="20"/>
                <w:color w:val="auto"/>
              </w:rPr>
            </w:pPr>
            <w:r>
              <w:rPr>
                <w:rFonts w:ascii="Arial" w:cs="Arial" w:eastAsia="Arial" w:hAnsi="Arial"/>
                <w:sz w:val="15"/>
                <w:szCs w:val="15"/>
                <w:color w:val="auto"/>
              </w:rPr>
              <w:t>Target — $551 million</w:t>
            </w:r>
          </w:p>
        </w:tc>
        <w:tc>
          <w:tcPr>
            <w:tcW w:w="580" w:type="dxa"/>
            <w:vAlign w:val="bottom"/>
            <w:tcBorders>
              <w:right w:val="single" w:sz="8" w:color="auto"/>
            </w:tcBorders>
          </w:tcPr>
          <w:p>
            <w:pPr>
              <w:spacing w:after="0"/>
              <w:rPr>
                <w:sz w:val="17"/>
                <w:szCs w:val="17"/>
                <w:color w:val="auto"/>
              </w:rPr>
            </w:pPr>
          </w:p>
        </w:tc>
      </w:tr>
      <w:tr>
        <w:trPr>
          <w:trHeight w:val="216"/>
        </w:trPr>
        <w:tc>
          <w:tcPr>
            <w:tcW w:w="344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5"/>
                <w:szCs w:val="15"/>
                <w:color w:val="auto"/>
              </w:rPr>
              <w:t>Maximum — Greater than or equal to $633 million</w:t>
            </w:r>
          </w:p>
        </w:tc>
        <w:tc>
          <w:tcPr>
            <w:tcW w:w="580" w:type="dxa"/>
            <w:vAlign w:val="bottom"/>
            <w:tcBorders>
              <w:right w:val="single" w:sz="8" w:color="auto"/>
            </w:tcBorders>
          </w:tcPr>
          <w:p>
            <w:pPr>
              <w:spacing w:after="0"/>
              <w:rPr>
                <w:sz w:val="18"/>
                <w:szCs w:val="18"/>
                <w:color w:val="auto"/>
              </w:rPr>
            </w:pPr>
          </w:p>
        </w:tc>
      </w:tr>
      <w:tr>
        <w:trPr>
          <w:trHeight w:val="73"/>
        </w:trPr>
        <w:tc>
          <w:tcPr>
            <w:tcW w:w="3440" w:type="dxa"/>
            <w:vAlign w:val="bottom"/>
            <w:tcBorders>
              <w:left w:val="single" w:sz="8" w:color="auto"/>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r>
      <w:tr>
        <w:trPr>
          <w:trHeight w:val="20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 Acima Segment Revenue</w:t>
            </w:r>
          </w:p>
        </w:tc>
        <w:tc>
          <w:tcPr>
            <w:tcW w:w="1160" w:type="dxa"/>
            <w:vAlign w:val="bottom"/>
            <w:tcBorders>
              <w:right w:val="single" w:sz="8" w:color="auto"/>
            </w:tcBorders>
          </w:tcPr>
          <w:p>
            <w:pPr>
              <w:ind w:left="1040"/>
              <w:spacing w:after="0"/>
              <w:rPr>
                <w:sz w:val="20"/>
                <w:szCs w:val="20"/>
                <w:color w:val="auto"/>
              </w:rPr>
            </w:pPr>
            <w:r>
              <w:rPr>
                <w:rFonts w:ascii="Arial" w:cs="Arial" w:eastAsia="Arial" w:hAnsi="Arial"/>
                <w:sz w:val="15"/>
                <w:szCs w:val="15"/>
                <w:color w:val="auto"/>
              </w:rPr>
              <w:t>​</w:t>
            </w:r>
          </w:p>
        </w:tc>
        <w:tc>
          <w:tcPr>
            <w:tcW w:w="4020" w:type="dxa"/>
            <w:vAlign w:val="bottom"/>
          </w:tcPr>
          <w:p>
            <w:pPr>
              <w:spacing w:after="0"/>
              <w:rPr>
                <w:sz w:val="20"/>
                <w:szCs w:val="20"/>
                <w:color w:val="auto"/>
              </w:rPr>
            </w:pPr>
            <w:r>
              <w:rPr>
                <w:rFonts w:ascii="Arial" w:cs="Arial" w:eastAsia="Arial" w:hAnsi="Arial"/>
                <w:sz w:val="15"/>
                <w:szCs w:val="15"/>
                <w:color w:val="auto"/>
              </w:rPr>
              <w:t>​ Threshold — Less than $2,385 million</w:t>
            </w:r>
          </w:p>
        </w:tc>
        <w:tc>
          <w:tcPr>
            <w:tcW w:w="58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w:t>
            </w:r>
          </w:p>
        </w:tc>
      </w:tr>
      <w:tr>
        <w:trPr>
          <w:trHeight w:val="229"/>
        </w:trPr>
        <w:tc>
          <w:tcPr>
            <w:tcW w:w="3440" w:type="dxa"/>
            <w:vAlign w:val="bottom"/>
            <w:tcBorders>
              <w:lef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020" w:type="dxa"/>
            <w:vAlign w:val="bottom"/>
          </w:tcPr>
          <w:p>
            <w:pPr>
              <w:ind w:left="80"/>
              <w:spacing w:after="0"/>
              <w:rPr>
                <w:sz w:val="20"/>
                <w:szCs w:val="20"/>
                <w:color w:val="auto"/>
              </w:rPr>
            </w:pPr>
            <w:r>
              <w:rPr>
                <w:rFonts w:ascii="Arial" w:cs="Arial" w:eastAsia="Arial" w:hAnsi="Arial"/>
                <w:sz w:val="15"/>
                <w:szCs w:val="15"/>
                <w:color w:val="auto"/>
              </w:rPr>
              <w:t>Target — $2,537 million</w:t>
            </w:r>
          </w:p>
        </w:tc>
        <w:tc>
          <w:tcPr>
            <w:tcW w:w="580" w:type="dxa"/>
            <w:vAlign w:val="bottom"/>
            <w:tcBorders>
              <w:right w:val="single" w:sz="8" w:color="auto"/>
            </w:tcBorders>
          </w:tcPr>
          <w:p>
            <w:pPr>
              <w:spacing w:after="0"/>
              <w:rPr>
                <w:sz w:val="19"/>
                <w:szCs w:val="19"/>
                <w:color w:val="auto"/>
              </w:rPr>
            </w:pPr>
          </w:p>
        </w:tc>
      </w:tr>
      <w:tr>
        <w:trPr>
          <w:trHeight w:val="216"/>
        </w:trPr>
        <w:tc>
          <w:tcPr>
            <w:tcW w:w="344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5"/>
                <w:szCs w:val="15"/>
                <w:color w:val="auto"/>
              </w:rPr>
              <w:t>Maximum — Greater than or equal to $2,689 million</w:t>
            </w:r>
          </w:p>
        </w:tc>
        <w:tc>
          <w:tcPr>
            <w:tcW w:w="580" w:type="dxa"/>
            <w:vAlign w:val="bottom"/>
            <w:tcBorders>
              <w:right w:val="single" w:sz="8" w:color="auto"/>
            </w:tcBorders>
          </w:tcPr>
          <w:p>
            <w:pPr>
              <w:spacing w:after="0"/>
              <w:rPr>
                <w:sz w:val="18"/>
                <w:szCs w:val="18"/>
                <w:color w:val="auto"/>
              </w:rPr>
            </w:pPr>
          </w:p>
        </w:tc>
      </w:tr>
      <w:tr>
        <w:trPr>
          <w:trHeight w:val="73"/>
        </w:trPr>
        <w:tc>
          <w:tcPr>
            <w:tcW w:w="3440" w:type="dxa"/>
            <w:vAlign w:val="bottom"/>
            <w:tcBorders>
              <w:left w:val="single" w:sz="8" w:color="auto"/>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r>
      <w:tr>
        <w:trPr>
          <w:trHeight w:val="20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 Rent-A-Center Segment Revenue</w:t>
            </w:r>
          </w:p>
        </w:tc>
        <w:tc>
          <w:tcPr>
            <w:tcW w:w="1160" w:type="dxa"/>
            <w:vAlign w:val="bottom"/>
            <w:tcBorders>
              <w:right w:val="single" w:sz="8" w:color="auto"/>
            </w:tcBorders>
          </w:tcPr>
          <w:p>
            <w:pPr>
              <w:ind w:left="1040"/>
              <w:spacing w:after="0"/>
              <w:rPr>
                <w:sz w:val="20"/>
                <w:szCs w:val="20"/>
                <w:color w:val="auto"/>
              </w:rPr>
            </w:pPr>
            <w:r>
              <w:rPr>
                <w:rFonts w:ascii="Arial" w:cs="Arial" w:eastAsia="Arial" w:hAnsi="Arial"/>
                <w:sz w:val="15"/>
                <w:szCs w:val="15"/>
                <w:color w:val="auto"/>
              </w:rPr>
              <w:t>​</w:t>
            </w:r>
          </w:p>
        </w:tc>
        <w:tc>
          <w:tcPr>
            <w:tcW w:w="4020" w:type="dxa"/>
            <w:vAlign w:val="bottom"/>
          </w:tcPr>
          <w:p>
            <w:pPr>
              <w:spacing w:after="0"/>
              <w:rPr>
                <w:sz w:val="20"/>
                <w:szCs w:val="20"/>
                <w:color w:val="auto"/>
              </w:rPr>
            </w:pPr>
            <w:r>
              <w:rPr>
                <w:rFonts w:ascii="Arial" w:cs="Arial" w:eastAsia="Arial" w:hAnsi="Arial"/>
                <w:sz w:val="15"/>
                <w:szCs w:val="15"/>
                <w:color w:val="auto"/>
              </w:rPr>
              <w:t>​ Threshold — Less than $1,724 million</w:t>
            </w:r>
          </w:p>
        </w:tc>
        <w:tc>
          <w:tcPr>
            <w:tcW w:w="58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w:t>
            </w:r>
          </w:p>
        </w:tc>
      </w:tr>
      <w:tr>
        <w:trPr>
          <w:trHeight w:val="230"/>
        </w:trPr>
        <w:tc>
          <w:tcPr>
            <w:tcW w:w="3440" w:type="dxa"/>
            <w:vAlign w:val="bottom"/>
            <w:tcBorders>
              <w:lef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020" w:type="dxa"/>
            <w:vAlign w:val="bottom"/>
          </w:tcPr>
          <w:p>
            <w:pPr>
              <w:ind w:left="80"/>
              <w:spacing w:after="0"/>
              <w:rPr>
                <w:sz w:val="20"/>
                <w:szCs w:val="20"/>
                <w:color w:val="auto"/>
              </w:rPr>
            </w:pPr>
            <w:r>
              <w:rPr>
                <w:rFonts w:ascii="Arial" w:cs="Arial" w:eastAsia="Arial" w:hAnsi="Arial"/>
                <w:sz w:val="15"/>
                <w:szCs w:val="15"/>
                <w:color w:val="auto"/>
              </w:rPr>
              <w:t>Target — $1,796 million</w:t>
            </w:r>
          </w:p>
        </w:tc>
        <w:tc>
          <w:tcPr>
            <w:tcW w:w="580" w:type="dxa"/>
            <w:vAlign w:val="bottom"/>
            <w:tcBorders>
              <w:right w:val="single" w:sz="8" w:color="auto"/>
            </w:tcBorders>
          </w:tcPr>
          <w:p>
            <w:pPr>
              <w:spacing w:after="0"/>
              <w:rPr>
                <w:sz w:val="19"/>
                <w:szCs w:val="19"/>
                <w:color w:val="auto"/>
              </w:rPr>
            </w:pPr>
          </w:p>
        </w:tc>
      </w:tr>
      <w:tr>
        <w:trPr>
          <w:trHeight w:val="216"/>
        </w:trPr>
        <w:tc>
          <w:tcPr>
            <w:tcW w:w="344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5"/>
                <w:szCs w:val="15"/>
                <w:color w:val="auto"/>
              </w:rPr>
              <w:t>Maximum — Greater than or equal to $1,868 million</w:t>
            </w:r>
          </w:p>
        </w:tc>
        <w:tc>
          <w:tcPr>
            <w:tcW w:w="580" w:type="dxa"/>
            <w:vAlign w:val="bottom"/>
            <w:tcBorders>
              <w:right w:val="single" w:sz="8" w:color="auto"/>
            </w:tcBorders>
          </w:tcPr>
          <w:p>
            <w:pPr>
              <w:spacing w:after="0"/>
              <w:rPr>
                <w:sz w:val="18"/>
                <w:szCs w:val="18"/>
                <w:color w:val="auto"/>
              </w:rPr>
            </w:pPr>
          </w:p>
        </w:tc>
      </w:tr>
      <w:tr>
        <w:trPr>
          <w:trHeight w:val="73"/>
        </w:trPr>
        <w:tc>
          <w:tcPr>
            <w:tcW w:w="3440" w:type="dxa"/>
            <w:vAlign w:val="bottom"/>
            <w:tcBorders>
              <w:left w:val="single" w:sz="8" w:color="auto"/>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r>
    </w:tbl>
    <w:p>
      <w:pPr>
        <w:spacing w:after="0" w:line="60" w:lineRule="exact"/>
        <w:rPr>
          <w:sz w:val="20"/>
          <w:szCs w:val="20"/>
          <w:color w:val="auto"/>
        </w:rPr>
      </w:pPr>
    </w:p>
    <w:p>
      <w:pPr>
        <w:ind w:left="1120" w:right="40" w:hanging="358"/>
        <w:spacing w:after="0" w:line="302" w:lineRule="auto"/>
        <w:tabs>
          <w:tab w:leader="none" w:pos="11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Non-GAAP financial measure. See </w:t>
      </w:r>
      <w:r>
        <w:rPr>
          <w:rFonts w:ascii="Arial" w:cs="Arial" w:eastAsia="Arial" w:hAnsi="Arial"/>
          <w:sz w:val="14"/>
          <w:szCs w:val="14"/>
          <w:i w:val="1"/>
          <w:iCs w:val="1"/>
          <w:u w:val="single" w:color="auto"/>
          <w:color w:val="auto"/>
        </w:rPr>
        <w:t>Annex A</w:t>
      </w:r>
      <w:r>
        <w:rPr>
          <w:rFonts w:ascii="Arial" w:cs="Arial" w:eastAsia="Arial" w:hAnsi="Arial"/>
          <w:sz w:val="14"/>
          <w:szCs w:val="14"/>
          <w:i w:val="1"/>
          <w:iCs w:val="1"/>
          <w:color w:val="auto"/>
        </w:rPr>
        <w:t xml:space="preserve"> for additional information regarding non-GAAP financial measures and reconciliations of non-GAAP financial measures to their most directly comparable GAAP financial measure.</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target cash incentives in 2025 for each of the named executive officers are set forth below:</w:t>
      </w:r>
    </w:p>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3640" w:type="dxa"/>
            <w:vAlign w:val="bottom"/>
            <w:vMerge w:val="restart"/>
          </w:tcPr>
          <w:p>
            <w:pPr>
              <w:spacing w:after="0"/>
              <w:rPr>
                <w:sz w:val="20"/>
                <w:szCs w:val="20"/>
                <w:color w:val="auto"/>
              </w:rPr>
            </w:pPr>
            <w:r>
              <w:rPr>
                <w:rFonts w:ascii="Arial" w:cs="Arial" w:eastAsia="Arial" w:hAnsi="Arial"/>
                <w:sz w:val="15"/>
                <w:szCs w:val="15"/>
                <w:b w:val="1"/>
                <w:bCs w:val="1"/>
                <w:color w:val="auto"/>
              </w:rPr>
              <w:t>​ Officer</w:t>
            </w:r>
            <w:r>
              <w:rPr>
                <w:rFonts w:ascii="Arial" w:cs="Arial" w:eastAsia="Arial" w:hAnsi="Arial"/>
                <w:sz w:val="19"/>
                <w:szCs w:val="19"/>
                <w:b w:val="1"/>
                <w:bCs w:val="1"/>
                <w:color w:val="auto"/>
                <w:vertAlign w:val="superscript"/>
              </w:rPr>
              <w:t>(1)</w:t>
            </w:r>
          </w:p>
        </w:tc>
        <w:tc>
          <w:tcPr>
            <w:tcW w:w="30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5"/>
                <w:szCs w:val="15"/>
                <w:b w:val="1"/>
                <w:bCs w:val="1"/>
                <w:color w:val="auto"/>
              </w:rPr>
              <w:t>2025 Target Cash Incentives as a</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4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ind w:left="2840"/>
              <w:spacing w:after="0"/>
              <w:rPr>
                <w:sz w:val="20"/>
                <w:szCs w:val="20"/>
                <w:color w:val="auto"/>
              </w:rPr>
            </w:pPr>
            <w:r>
              <w:rPr>
                <w:rFonts w:ascii="Arial" w:cs="Arial" w:eastAsia="Arial" w:hAnsi="Arial"/>
                <w:sz w:val="15"/>
                <w:szCs w:val="15"/>
                <w:b w:val="1"/>
                <w:bCs w:val="1"/>
                <w:color w:val="auto"/>
              </w:rPr>
              <w:t>​ ​</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Percentage of Base Salary</w:t>
            </w:r>
          </w:p>
        </w:tc>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7"/>
        </w:trPr>
        <w:tc>
          <w:tcPr>
            <w:tcW w:w="3640" w:type="dxa"/>
            <w:vAlign w:val="bottom"/>
            <w:shd w:val="clear" w:color="auto" w:fill="E5E5E5"/>
          </w:tcPr>
          <w:p>
            <w:pPr>
              <w:spacing w:after="0"/>
              <w:rPr>
                <w:sz w:val="20"/>
                <w:szCs w:val="20"/>
                <w:color w:val="auto"/>
              </w:rPr>
            </w:pPr>
            <w:r>
              <w:rPr>
                <w:rFonts w:ascii="Arial" w:cs="Arial" w:eastAsia="Arial" w:hAnsi="Arial"/>
                <w:sz w:val="15"/>
                <w:szCs w:val="15"/>
                <w:color w:val="auto"/>
              </w:rPr>
              <w:t>​ Karam</w:t>
            </w:r>
          </w:p>
        </w:tc>
        <w:tc>
          <w:tcPr>
            <w:tcW w:w="3020" w:type="dxa"/>
            <w:vAlign w:val="bottom"/>
            <w:shd w:val="clear" w:color="auto" w:fill="E5E5E5"/>
          </w:tcPr>
          <w:p>
            <w:pPr>
              <w:ind w:left="2840"/>
              <w:spacing w:after="0"/>
              <w:rPr>
                <w:sz w:val="20"/>
                <w:szCs w:val="20"/>
                <w:color w:val="auto"/>
              </w:rPr>
            </w:pPr>
            <w:r>
              <w:rPr>
                <w:rFonts w:ascii="Arial" w:cs="Arial" w:eastAsia="Arial" w:hAnsi="Arial"/>
                <w:sz w:val="15"/>
                <w:szCs w:val="15"/>
                <w:color w:val="auto"/>
              </w:rPr>
              <w:t>​ ​</w:t>
            </w:r>
          </w:p>
        </w:tc>
        <w:tc>
          <w:tcPr>
            <w:tcW w:w="2420" w:type="dxa"/>
            <w:vAlign w:val="bottom"/>
            <w:shd w:val="clear" w:color="auto" w:fill="E5E5E5"/>
          </w:tcPr>
          <w:p>
            <w:pPr>
              <w:jc w:val="center"/>
              <w:spacing w:after="0"/>
              <w:rPr>
                <w:sz w:val="20"/>
                <w:szCs w:val="20"/>
                <w:color w:val="auto"/>
              </w:rPr>
            </w:pPr>
            <w:r>
              <w:rPr>
                <w:rFonts w:ascii="Arial" w:cs="Arial" w:eastAsia="Arial" w:hAnsi="Arial"/>
                <w:sz w:val="15"/>
                <w:szCs w:val="15"/>
                <w:color w:val="auto"/>
                <w:w w:val="98"/>
              </w:rPr>
              <w:t>150%</w:t>
            </w:r>
          </w:p>
        </w:tc>
        <w:tc>
          <w:tcPr>
            <w:tcW w:w="12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3640" w:type="dxa"/>
            <w:vAlign w:val="bottom"/>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Khouri</w:t>
            </w:r>
            <w:r>
              <w:rPr>
                <w:rFonts w:ascii="Arial" w:cs="Arial" w:eastAsia="Arial" w:hAnsi="Arial"/>
                <w:sz w:val="18"/>
                <w:szCs w:val="18"/>
                <w:color w:val="auto"/>
                <w:vertAlign w:val="superscript"/>
              </w:rPr>
              <w:t>(2)</w:t>
            </w:r>
          </w:p>
        </w:tc>
        <w:tc>
          <w:tcPr>
            <w:tcW w:w="3020" w:type="dxa"/>
            <w:vAlign w:val="bottom"/>
          </w:tcPr>
          <w:p>
            <w:pPr>
              <w:ind w:left="2840"/>
              <w:spacing w:after="0"/>
              <w:rPr>
                <w:sz w:val="20"/>
                <w:szCs w:val="20"/>
                <w:color w:val="auto"/>
              </w:rPr>
            </w:pPr>
            <w:r>
              <w:rPr>
                <w:rFonts w:ascii="Arial" w:cs="Arial" w:eastAsia="Arial" w:hAnsi="Arial"/>
                <w:sz w:val="15"/>
                <w:szCs w:val="15"/>
                <w:color w:val="auto"/>
              </w:rPr>
              <w:t>​ ​</w:t>
            </w:r>
          </w:p>
        </w:tc>
        <w:tc>
          <w:tcPr>
            <w:tcW w:w="2420" w:type="dxa"/>
            <w:vAlign w:val="bottom"/>
          </w:tcPr>
          <w:p>
            <w:pPr>
              <w:jc w:val="center"/>
              <w:spacing w:after="0"/>
              <w:rPr>
                <w:sz w:val="20"/>
                <w:szCs w:val="20"/>
                <w:color w:val="auto"/>
              </w:rPr>
            </w:pPr>
            <w:r>
              <w:rPr>
                <w:rFonts w:ascii="Arial" w:cs="Arial" w:eastAsia="Arial" w:hAnsi="Arial"/>
                <w:sz w:val="15"/>
                <w:szCs w:val="15"/>
                <w:color w:val="auto"/>
                <w:w w:val="99"/>
              </w:rPr>
              <w:t>60%</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3640" w:type="dxa"/>
            <w:vAlign w:val="bottom"/>
            <w:shd w:val="clear" w:color="auto" w:fill="E5E5E5"/>
          </w:tcPr>
          <w:p>
            <w:pPr>
              <w:spacing w:after="0"/>
              <w:rPr>
                <w:sz w:val="20"/>
                <w:szCs w:val="20"/>
                <w:color w:val="auto"/>
              </w:rPr>
            </w:pPr>
            <w:r>
              <w:rPr>
                <w:rFonts w:ascii="Arial" w:cs="Arial" w:eastAsia="Arial" w:hAnsi="Arial"/>
                <w:sz w:val="15"/>
                <w:szCs w:val="15"/>
                <w:color w:val="auto"/>
              </w:rPr>
              <w:t>​ Montrone</w:t>
            </w:r>
          </w:p>
        </w:tc>
        <w:tc>
          <w:tcPr>
            <w:tcW w:w="3020" w:type="dxa"/>
            <w:vAlign w:val="bottom"/>
            <w:shd w:val="clear" w:color="auto" w:fill="E5E5E5"/>
          </w:tcPr>
          <w:p>
            <w:pPr>
              <w:ind w:left="2840"/>
              <w:spacing w:after="0"/>
              <w:rPr>
                <w:sz w:val="20"/>
                <w:szCs w:val="20"/>
                <w:color w:val="auto"/>
              </w:rPr>
            </w:pPr>
            <w:r>
              <w:rPr>
                <w:rFonts w:ascii="Arial" w:cs="Arial" w:eastAsia="Arial" w:hAnsi="Arial"/>
                <w:sz w:val="15"/>
                <w:szCs w:val="15"/>
                <w:color w:val="auto"/>
              </w:rPr>
              <w:t>​ ​</w:t>
            </w:r>
          </w:p>
        </w:tc>
        <w:tc>
          <w:tcPr>
            <w:tcW w:w="2420" w:type="dxa"/>
            <w:vAlign w:val="bottom"/>
            <w:shd w:val="clear" w:color="auto" w:fill="E5E5E5"/>
          </w:tcPr>
          <w:p>
            <w:pPr>
              <w:jc w:val="center"/>
              <w:spacing w:after="0"/>
              <w:rPr>
                <w:sz w:val="20"/>
                <w:szCs w:val="20"/>
                <w:color w:val="auto"/>
              </w:rPr>
            </w:pPr>
            <w:r>
              <w:rPr>
                <w:rFonts w:ascii="Arial" w:cs="Arial" w:eastAsia="Arial" w:hAnsi="Arial"/>
                <w:sz w:val="15"/>
                <w:szCs w:val="15"/>
                <w:color w:val="auto"/>
                <w:w w:val="99"/>
              </w:rPr>
              <w:t>60%</w:t>
            </w:r>
          </w:p>
        </w:tc>
        <w:tc>
          <w:tcPr>
            <w:tcW w:w="12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5"/>
                <w:szCs w:val="15"/>
                <w:color w:val="auto"/>
              </w:rPr>
              <w:t>​ Blasquez</w:t>
            </w:r>
          </w:p>
        </w:tc>
        <w:tc>
          <w:tcPr>
            <w:tcW w:w="3020" w:type="dxa"/>
            <w:vAlign w:val="bottom"/>
          </w:tcPr>
          <w:p>
            <w:pPr>
              <w:ind w:left="2840"/>
              <w:spacing w:after="0"/>
              <w:rPr>
                <w:sz w:val="20"/>
                <w:szCs w:val="20"/>
                <w:color w:val="auto"/>
              </w:rPr>
            </w:pPr>
            <w:r>
              <w:rPr>
                <w:rFonts w:ascii="Arial" w:cs="Arial" w:eastAsia="Arial" w:hAnsi="Arial"/>
                <w:sz w:val="15"/>
                <w:szCs w:val="15"/>
                <w:color w:val="auto"/>
              </w:rPr>
              <w:t>​ ​</w:t>
            </w:r>
          </w:p>
        </w:tc>
        <w:tc>
          <w:tcPr>
            <w:tcW w:w="2420" w:type="dxa"/>
            <w:vAlign w:val="bottom"/>
          </w:tcPr>
          <w:p>
            <w:pPr>
              <w:jc w:val="center"/>
              <w:spacing w:after="0"/>
              <w:rPr>
                <w:sz w:val="20"/>
                <w:szCs w:val="20"/>
                <w:color w:val="auto"/>
              </w:rPr>
            </w:pPr>
            <w:r>
              <w:rPr>
                <w:rFonts w:ascii="Arial" w:cs="Arial" w:eastAsia="Arial" w:hAnsi="Arial"/>
                <w:sz w:val="15"/>
                <w:szCs w:val="15"/>
                <w:color w:val="auto"/>
                <w:w w:val="99"/>
              </w:rPr>
              <w:t>60%</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5"/>
                <w:szCs w:val="15"/>
                <w:color w:val="auto"/>
              </w:rPr>
              <w:t>​ Pechersky</w:t>
            </w:r>
          </w:p>
        </w:tc>
        <w:tc>
          <w:tcPr>
            <w:tcW w:w="3020" w:type="dxa"/>
            <w:vAlign w:val="bottom"/>
            <w:tcBorders>
              <w:bottom w:val="single" w:sz="8" w:color="auto"/>
            </w:tcBorders>
            <w:shd w:val="clear" w:color="auto" w:fill="E5E5E5"/>
          </w:tcPr>
          <w:p>
            <w:pPr>
              <w:ind w:left="2840"/>
              <w:spacing w:after="0"/>
              <w:rPr>
                <w:sz w:val="20"/>
                <w:szCs w:val="20"/>
                <w:color w:val="auto"/>
              </w:rPr>
            </w:pPr>
            <w:r>
              <w:rPr>
                <w:rFonts w:ascii="Arial" w:cs="Arial" w:eastAsia="Arial" w:hAnsi="Arial"/>
                <w:sz w:val="15"/>
                <w:szCs w:val="15"/>
                <w:color w:val="auto"/>
              </w:rPr>
              <w:t>​ ​</w:t>
            </w:r>
          </w:p>
        </w:tc>
        <w:tc>
          <w:tcPr>
            <w:tcW w:w="24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5"/>
                <w:szCs w:val="15"/>
                <w:color w:val="auto"/>
                <w:w w:val="99"/>
              </w:rPr>
              <w:t>60%</w:t>
            </w:r>
          </w:p>
        </w:tc>
        <w:tc>
          <w:tcPr>
            <w:tcW w:w="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20" w:hanging="358"/>
        <w:spacing w:after="0"/>
        <w:tabs>
          <w:tab w:leader="none" w:pos="11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Mr. Fadel because he retired on June 1, 2025 and did not receive a cash incentive award for 2025.</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Mr. Khouri received a pro-rated cash incentive award for 2025 pursuant to his offer letter.</w:t>
      </w:r>
    </w:p>
    <w:p>
      <w:pPr>
        <w:spacing w:after="0" w:line="144" w:lineRule="exact"/>
        <w:rPr>
          <w:sz w:val="20"/>
          <w:szCs w:val="20"/>
          <w:color w:val="auto"/>
        </w:rPr>
      </w:pPr>
    </w:p>
    <w:p>
      <w:pPr>
        <w:ind w:left="760" w:right="60"/>
        <w:spacing w:after="0" w:line="271" w:lineRule="auto"/>
        <w:rPr>
          <w:sz w:val="20"/>
          <w:szCs w:val="20"/>
          <w:color w:val="auto"/>
        </w:rPr>
      </w:pPr>
      <w:r>
        <w:rPr>
          <w:rFonts w:ascii="Arial" w:cs="Arial" w:eastAsia="Arial" w:hAnsi="Arial"/>
          <w:sz w:val="16"/>
          <w:szCs w:val="16"/>
          <w:color w:val="auto"/>
        </w:rPr>
        <w:t>In February 2026, the Compensation Committee determined the level of achievement against the targets for purposes of the named executive officers’ 2025 bonus plan. In 2025, the Company’s Adjusted EBITDA</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was $520 million.</w:t>
      </w:r>
    </w:p>
    <w:p>
      <w:pPr>
        <w:spacing w:after="0" w:line="350"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64" w:lineRule="exact"/>
        <w:rPr>
          <w:sz w:val="20"/>
          <w:szCs w:val="20"/>
          <w:color w:val="auto"/>
        </w:rPr>
      </w:pPr>
    </w:p>
    <w:tbl>
      <w:tblPr>
        <w:tblLayout w:type="fixed"/>
        <w:tblInd w:w="770" w:type="dxa"/>
        <w:tblCellMar>
          <w:top w:w="0" w:type="dxa"/>
          <w:left w:w="0" w:type="dxa"/>
          <w:bottom w:w="0" w:type="dxa"/>
          <w:right w:w="0" w:type="dxa"/>
        </w:tblCellMar>
      </w:tblPr>
      <w:tr>
        <w:trPr>
          <w:trHeight w:val="264"/>
        </w:trPr>
        <w:tc>
          <w:tcPr>
            <w:tcW w:w="2000" w:type="dxa"/>
            <w:vAlign w:val="bottom"/>
            <w:tcBorders>
              <w:top w:val="single" w:sz="8" w:color="auto"/>
              <w:left w:val="single" w:sz="8" w:color="auto"/>
            </w:tcBorders>
            <w:shd w:val="clear" w:color="auto" w:fill="E5E5E5"/>
          </w:tcPr>
          <w:p>
            <w:pPr>
              <w:spacing w:after="0"/>
              <w:rPr>
                <w:sz w:val="22"/>
                <w:szCs w:val="22"/>
                <w:color w:val="auto"/>
              </w:rPr>
            </w:pPr>
          </w:p>
        </w:tc>
        <w:tc>
          <w:tcPr>
            <w:tcW w:w="200" w:type="dxa"/>
            <w:vAlign w:val="bottom"/>
            <w:tcBorders>
              <w:top w:val="single" w:sz="8" w:color="auto"/>
              <w:right w:val="single" w:sz="8" w:color="auto"/>
            </w:tcBorders>
            <w:shd w:val="clear" w:color="auto" w:fill="E5E5E5"/>
          </w:tcPr>
          <w:p>
            <w:pPr>
              <w:spacing w:after="0"/>
              <w:rPr>
                <w:sz w:val="22"/>
                <w:szCs w:val="22"/>
                <w:color w:val="auto"/>
              </w:rPr>
            </w:pPr>
          </w:p>
        </w:tc>
        <w:tc>
          <w:tcPr>
            <w:tcW w:w="120" w:type="dxa"/>
            <w:vAlign w:val="bottom"/>
            <w:tcBorders>
              <w:top w:val="single" w:sz="8" w:color="auto"/>
            </w:tcBorders>
            <w:shd w:val="clear" w:color="auto" w:fill="E5E5E5"/>
          </w:tcPr>
          <w:p>
            <w:pPr>
              <w:spacing w:after="0"/>
              <w:rPr>
                <w:sz w:val="22"/>
                <w:szCs w:val="22"/>
                <w:color w:val="auto"/>
              </w:rPr>
            </w:pPr>
          </w:p>
        </w:tc>
        <w:tc>
          <w:tcPr>
            <w:tcW w:w="1600" w:type="dxa"/>
            <w:vAlign w:val="bottom"/>
            <w:tcBorders>
              <w:top w:val="single" w:sz="8" w:color="auto"/>
            </w:tcBorders>
            <w:shd w:val="clear" w:color="auto" w:fill="E5E5E5"/>
          </w:tcPr>
          <w:p>
            <w:pPr>
              <w:spacing w:after="0"/>
              <w:rPr>
                <w:sz w:val="22"/>
                <w:szCs w:val="22"/>
                <w:color w:val="auto"/>
              </w:rPr>
            </w:pPr>
          </w:p>
        </w:tc>
        <w:tc>
          <w:tcPr>
            <w:tcW w:w="100" w:type="dxa"/>
            <w:vAlign w:val="bottom"/>
            <w:tcBorders>
              <w:top w:val="single" w:sz="8" w:color="auto"/>
              <w:right w:val="single" w:sz="8" w:color="auto"/>
            </w:tcBorders>
            <w:shd w:val="clear" w:color="auto" w:fill="E5E5E5"/>
          </w:tcPr>
          <w:p>
            <w:pPr>
              <w:spacing w:after="0"/>
              <w:rPr>
                <w:sz w:val="22"/>
                <w:szCs w:val="22"/>
                <w:color w:val="auto"/>
              </w:rPr>
            </w:pPr>
          </w:p>
        </w:tc>
        <w:tc>
          <w:tcPr>
            <w:tcW w:w="140" w:type="dxa"/>
            <w:vAlign w:val="bottom"/>
            <w:tcBorders>
              <w:top w:val="single" w:sz="8" w:color="auto"/>
            </w:tcBorders>
            <w:shd w:val="clear" w:color="auto" w:fill="E5E5E5"/>
          </w:tcPr>
          <w:p>
            <w:pPr>
              <w:spacing w:after="0"/>
              <w:rPr>
                <w:sz w:val="22"/>
                <w:szCs w:val="22"/>
                <w:color w:val="auto"/>
              </w:rPr>
            </w:pPr>
          </w:p>
        </w:tc>
        <w:tc>
          <w:tcPr>
            <w:tcW w:w="1440" w:type="dxa"/>
            <w:vAlign w:val="bottom"/>
            <w:tcBorders>
              <w:top w:val="single" w:sz="8" w:color="auto"/>
            </w:tcBorders>
            <w:shd w:val="clear" w:color="auto" w:fill="E5E5E5"/>
          </w:tcPr>
          <w:p>
            <w:pPr>
              <w:spacing w:after="0"/>
              <w:rPr>
                <w:sz w:val="22"/>
                <w:szCs w:val="22"/>
                <w:color w:val="auto"/>
              </w:rPr>
            </w:pPr>
          </w:p>
        </w:tc>
        <w:tc>
          <w:tcPr>
            <w:tcW w:w="140" w:type="dxa"/>
            <w:vAlign w:val="bottom"/>
            <w:tcBorders>
              <w:top w:val="single" w:sz="8" w:color="auto"/>
              <w:right w:val="single" w:sz="8" w:color="auto"/>
            </w:tcBorders>
            <w:shd w:val="clear" w:color="auto" w:fill="E5E5E5"/>
          </w:tcPr>
          <w:p>
            <w:pPr>
              <w:spacing w:after="0"/>
              <w:rPr>
                <w:sz w:val="22"/>
                <w:szCs w:val="22"/>
                <w:color w:val="auto"/>
              </w:rPr>
            </w:pPr>
          </w:p>
        </w:tc>
        <w:tc>
          <w:tcPr>
            <w:tcW w:w="180" w:type="dxa"/>
            <w:vAlign w:val="bottom"/>
            <w:tcBorders>
              <w:top w:val="single" w:sz="8" w:color="auto"/>
            </w:tcBorders>
            <w:shd w:val="clear" w:color="auto" w:fill="E5E5E5"/>
          </w:tcPr>
          <w:p>
            <w:pPr>
              <w:spacing w:after="0"/>
              <w:rPr>
                <w:sz w:val="22"/>
                <w:szCs w:val="22"/>
                <w:color w:val="auto"/>
              </w:rPr>
            </w:pPr>
          </w:p>
        </w:tc>
        <w:tc>
          <w:tcPr>
            <w:tcW w:w="1360" w:type="dxa"/>
            <w:vAlign w:val="bottom"/>
            <w:tcBorders>
              <w:top w:val="single" w:sz="8" w:color="auto"/>
            </w:tcBorders>
            <w:shd w:val="clear" w:color="auto" w:fill="E5E5E5"/>
          </w:tcPr>
          <w:p>
            <w:pPr>
              <w:spacing w:after="0"/>
              <w:rPr>
                <w:sz w:val="22"/>
                <w:szCs w:val="22"/>
                <w:color w:val="auto"/>
              </w:rPr>
            </w:pPr>
          </w:p>
        </w:tc>
        <w:tc>
          <w:tcPr>
            <w:tcW w:w="180" w:type="dxa"/>
            <w:vAlign w:val="bottom"/>
            <w:tcBorders>
              <w:top w:val="single" w:sz="8" w:color="auto"/>
              <w:right w:val="single" w:sz="8" w:color="auto"/>
            </w:tcBorders>
            <w:shd w:val="clear" w:color="auto" w:fill="E5E5E5"/>
          </w:tcPr>
          <w:p>
            <w:pPr>
              <w:spacing w:after="0"/>
              <w:rPr>
                <w:sz w:val="22"/>
                <w:szCs w:val="22"/>
                <w:color w:val="auto"/>
              </w:rPr>
            </w:pPr>
          </w:p>
        </w:tc>
        <w:tc>
          <w:tcPr>
            <w:tcW w:w="240" w:type="dxa"/>
            <w:vAlign w:val="bottom"/>
            <w:tcBorders>
              <w:top w:val="single" w:sz="8" w:color="auto"/>
            </w:tcBorders>
            <w:shd w:val="clear" w:color="auto" w:fill="E5E5E5"/>
          </w:tcPr>
          <w:p>
            <w:pPr>
              <w:spacing w:after="0"/>
              <w:rPr>
                <w:sz w:val="22"/>
                <w:szCs w:val="22"/>
                <w:color w:val="auto"/>
              </w:rPr>
            </w:pPr>
          </w:p>
        </w:tc>
        <w:tc>
          <w:tcPr>
            <w:tcW w:w="126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5"/>
                <w:szCs w:val="15"/>
                <w:b w:val="1"/>
                <w:bCs w:val="1"/>
                <w:color w:val="auto"/>
              </w:rPr>
              <w:t>Payout for</w:t>
            </w:r>
          </w:p>
        </w:tc>
        <w:tc>
          <w:tcPr>
            <w:tcW w:w="240" w:type="dxa"/>
            <w:vAlign w:val="bottom"/>
            <w:tcBorders>
              <w:top w:val="single" w:sz="8" w:color="auto"/>
              <w:right w:val="single" w:sz="8" w:color="auto"/>
            </w:tcBorders>
            <w:shd w:val="clear" w:color="auto" w:fill="E5E5E5"/>
          </w:tcPr>
          <w:p>
            <w:pPr>
              <w:spacing w:after="0"/>
              <w:rPr>
                <w:sz w:val="22"/>
                <w:szCs w:val="22"/>
                <w:color w:val="auto"/>
              </w:rPr>
            </w:pPr>
          </w:p>
        </w:tc>
      </w:tr>
      <w:tr>
        <w:trPr>
          <w:trHeight w:val="189"/>
        </w:trPr>
        <w:tc>
          <w:tcPr>
            <w:tcW w:w="2000" w:type="dxa"/>
            <w:vAlign w:val="bottom"/>
            <w:tcBorders>
              <w:left w:val="single" w:sz="8" w:color="auto"/>
            </w:tcBorders>
            <w:shd w:val="clear" w:color="auto" w:fill="E5E5E5"/>
          </w:tcPr>
          <w:p>
            <w:pPr>
              <w:spacing w:after="0"/>
              <w:rPr>
                <w:sz w:val="16"/>
                <w:szCs w:val="16"/>
                <w:color w:val="auto"/>
              </w:rPr>
            </w:pP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auto"/>
              </w:rPr>
              <w:t>Weighting (% of total</w:t>
            </w:r>
          </w:p>
        </w:tc>
        <w:tc>
          <w:tcPr>
            <w:tcW w:w="10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4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3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auto"/>
              </w:rPr>
              <w:t>Percent of 2025</w:t>
            </w:r>
          </w:p>
        </w:tc>
        <w:tc>
          <w:tcPr>
            <w:tcW w:w="180" w:type="dxa"/>
            <w:vAlign w:val="bottom"/>
            <w:tcBorders>
              <w:right w:val="single" w:sz="8" w:color="auto"/>
            </w:tcBorders>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60" w:type="dxa"/>
            <w:vAlign w:val="bottom"/>
            <w:shd w:val="clear" w:color="auto" w:fill="E5E5E5"/>
          </w:tcPr>
          <w:p>
            <w:pPr>
              <w:ind w:left="460"/>
              <w:spacing w:after="0"/>
              <w:rPr>
                <w:sz w:val="20"/>
                <w:szCs w:val="20"/>
                <w:color w:val="auto"/>
              </w:rPr>
            </w:pPr>
            <w:r>
              <w:rPr>
                <w:rFonts w:ascii="Arial" w:cs="Arial" w:eastAsia="Arial" w:hAnsi="Arial"/>
                <w:sz w:val="15"/>
                <w:szCs w:val="15"/>
                <w:b w:val="1"/>
                <w:bCs w:val="1"/>
                <w:color w:val="auto"/>
              </w:rPr>
              <w:t>2025</w:t>
            </w:r>
          </w:p>
        </w:tc>
        <w:tc>
          <w:tcPr>
            <w:tcW w:w="240" w:type="dxa"/>
            <w:vAlign w:val="bottom"/>
            <w:tcBorders>
              <w:right w:val="single" w:sz="8" w:color="auto"/>
            </w:tcBorders>
            <w:shd w:val="clear" w:color="auto" w:fill="E5E5E5"/>
          </w:tcPr>
          <w:p>
            <w:pPr>
              <w:spacing w:after="0"/>
              <w:rPr>
                <w:sz w:val="16"/>
                <w:szCs w:val="16"/>
                <w:color w:val="auto"/>
              </w:rPr>
            </w:pPr>
          </w:p>
        </w:tc>
      </w:tr>
      <w:tr>
        <w:trPr>
          <w:trHeight w:val="222"/>
        </w:trPr>
        <w:tc>
          <w:tcPr>
            <w:tcW w:w="2000" w:type="dxa"/>
            <w:vAlign w:val="bottom"/>
            <w:tcBorders>
              <w:left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5"/>
                <w:szCs w:val="15"/>
                <w:b w:val="1"/>
                <w:bCs w:val="1"/>
                <w:color w:val="auto"/>
              </w:rPr>
              <w:t>​Metric</w:t>
            </w:r>
          </w:p>
        </w:tc>
        <w:tc>
          <w:tcPr>
            <w:tcW w:w="200" w:type="dxa"/>
            <w:vAlign w:val="bottom"/>
            <w:tcBorders>
              <w:bottom w:val="single" w:sz="8" w:color="auto"/>
              <w:right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16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5"/>
                <w:szCs w:val="15"/>
                <w:b w:val="1"/>
                <w:bCs w:val="1"/>
                <w:color w:val="auto"/>
              </w:rPr>
              <w:t>bonus opportunity)</w:t>
            </w:r>
          </w:p>
        </w:tc>
        <w:tc>
          <w:tcPr>
            <w:tcW w:w="100" w:type="dxa"/>
            <w:vAlign w:val="bottom"/>
            <w:tcBorders>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5"/>
                <w:szCs w:val="15"/>
                <w:b w:val="1"/>
                <w:bCs w:val="1"/>
                <w:color w:val="auto"/>
              </w:rPr>
              <w:t>2025 Performance</w:t>
            </w:r>
          </w:p>
        </w:tc>
        <w:tc>
          <w:tcPr>
            <w:tcW w:w="1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5"/>
                <w:szCs w:val="15"/>
                <w:b w:val="1"/>
                <w:bCs w:val="1"/>
                <w:color w:val="auto"/>
              </w:rPr>
              <w:t>Target Achieved</w:t>
            </w:r>
          </w:p>
        </w:tc>
        <w:tc>
          <w:tcPr>
            <w:tcW w:w="180" w:type="dxa"/>
            <w:vAlign w:val="bottom"/>
            <w:tcBorders>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5"/>
                <w:szCs w:val="15"/>
                <w:b w:val="1"/>
                <w:bCs w:val="1"/>
                <w:color w:val="auto"/>
              </w:rPr>
              <w:t>(% of Target)</w:t>
            </w:r>
          </w:p>
        </w:tc>
        <w:tc>
          <w:tcPr>
            <w:tcW w:w="24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15"/>
                <w:szCs w:val="15"/>
                <w:b w:val="1"/>
                <w:bCs w:val="1"/>
                <w:color w:val="auto"/>
              </w:rPr>
              <w:t>​</w:t>
            </w:r>
          </w:p>
        </w:tc>
      </w:tr>
      <w:tr>
        <w:trPr>
          <w:trHeight w:val="236"/>
        </w:trPr>
        <w:tc>
          <w:tcPr>
            <w:tcW w:w="2000" w:type="dxa"/>
            <w:vAlign w:val="bottom"/>
            <w:tcBorders>
              <w:left w:val="single" w:sz="8" w:color="auto"/>
              <w:bottom w:val="single" w:sz="8" w:color="auto"/>
            </w:tcBorders>
          </w:tcPr>
          <w:p>
            <w:pPr>
              <w:ind w:left="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Adjusted EBITDA</w:t>
            </w:r>
            <w:r>
              <w:rPr>
                <w:rFonts w:ascii="Arial" w:cs="Arial" w:eastAsia="Arial" w:hAnsi="Arial"/>
                <w:sz w:val="17"/>
                <w:szCs w:val="17"/>
                <w:color w:val="auto"/>
                <w:vertAlign w:val="superscript"/>
              </w:rPr>
              <w:t>(1)</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50%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$520 million</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94.3%</w:t>
            </w:r>
          </w:p>
        </w:tc>
        <w:tc>
          <w:tcPr>
            <w:tcW w:w="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66%</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w:t>
            </w:r>
          </w:p>
        </w:tc>
      </w:tr>
      <w:tr>
        <w:trPr>
          <w:trHeight w:val="223"/>
        </w:trPr>
        <w:tc>
          <w:tcPr>
            <w:tcW w:w="2000" w:type="dxa"/>
            <w:vAlign w:val="bottom"/>
            <w:tcBorders>
              <w:left w:val="single" w:sz="8" w:color="auto"/>
              <w:bottom w:val="single" w:sz="8" w:color="auto"/>
            </w:tcBorders>
          </w:tcPr>
          <w:p>
            <w:pPr>
              <w:ind w:left="8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Acima Segment Revenue</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25%</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$2,512 million</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99.0%</w:t>
            </w:r>
          </w:p>
        </w:tc>
        <w:tc>
          <w:tcPr>
            <w:tcW w:w="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85%</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w:t>
            </w:r>
          </w:p>
        </w:tc>
      </w:tr>
      <w:tr>
        <w:trPr>
          <w:trHeight w:val="192"/>
        </w:trPr>
        <w:tc>
          <w:tcPr>
            <w:tcW w:w="200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​Rent-A-Center Segment</w:t>
            </w:r>
          </w:p>
        </w:tc>
        <w:tc>
          <w:tcPr>
            <w:tcW w:w="20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1600" w:type="dxa"/>
            <w:vAlign w:val="bottom"/>
          </w:tcPr>
          <w:p>
            <w:pPr>
              <w:jc w:val="center"/>
              <w:spacing w:after="0"/>
              <w:rPr>
                <w:sz w:val="20"/>
                <w:szCs w:val="20"/>
                <w:color w:val="auto"/>
              </w:rPr>
            </w:pPr>
            <w:r>
              <w:rPr>
                <w:rFonts w:ascii="Arial" w:cs="Arial" w:eastAsia="Arial" w:hAnsi="Arial"/>
                <w:sz w:val="15"/>
                <w:szCs w:val="15"/>
                <w:color w:val="auto"/>
                <w:w w:val="99"/>
              </w:rPr>
              <w:t>25%</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rPr>
              <w:t>​</w:t>
            </w:r>
          </w:p>
        </w:tc>
        <w:tc>
          <w:tcPr>
            <w:tcW w:w="1440" w:type="dxa"/>
            <w:vAlign w:val="bottom"/>
          </w:tcPr>
          <w:p>
            <w:pPr>
              <w:jc w:val="center"/>
              <w:spacing w:after="0"/>
              <w:rPr>
                <w:sz w:val="20"/>
                <w:szCs w:val="20"/>
                <w:color w:val="auto"/>
              </w:rPr>
            </w:pPr>
            <w:r>
              <w:rPr>
                <w:rFonts w:ascii="Arial" w:cs="Arial" w:eastAsia="Arial" w:hAnsi="Arial"/>
                <w:sz w:val="15"/>
                <w:szCs w:val="15"/>
                <w:color w:val="auto"/>
              </w:rPr>
              <w:t>$1,779 million</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w w:val="98"/>
              </w:rPr>
              <w:t>99.1%</w:t>
            </w:r>
          </w:p>
        </w:tc>
        <w:tc>
          <w:tcPr>
            <w:tcW w:w="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240" w:type="dxa"/>
            <w:vAlign w:val="bottom"/>
          </w:tcPr>
          <w:p>
            <w:pPr>
              <w:ind w:left="40"/>
              <w:spacing w:after="0"/>
              <w:rPr>
                <w:sz w:val="20"/>
                <w:szCs w:val="20"/>
                <w:color w:val="auto"/>
              </w:rPr>
            </w:pPr>
            <w:r>
              <w:rPr>
                <w:rFonts w:ascii="Arial" w:cs="Arial" w:eastAsia="Arial" w:hAnsi="Arial"/>
                <w:sz w:val="15"/>
                <w:szCs w:val="15"/>
                <w:color w:val="auto"/>
              </w:rPr>
              <w:t>​</w:t>
            </w:r>
          </w:p>
        </w:tc>
        <w:tc>
          <w:tcPr>
            <w:tcW w:w="1260" w:type="dxa"/>
            <w:vAlign w:val="bottom"/>
          </w:tcPr>
          <w:p>
            <w:pPr>
              <w:ind w:left="460"/>
              <w:spacing w:after="0"/>
              <w:rPr>
                <w:sz w:val="20"/>
                <w:szCs w:val="20"/>
                <w:color w:val="auto"/>
              </w:rPr>
            </w:pPr>
            <w:r>
              <w:rPr>
                <w:rFonts w:ascii="Arial" w:cs="Arial" w:eastAsia="Arial" w:hAnsi="Arial"/>
                <w:sz w:val="15"/>
                <w:szCs w:val="15"/>
                <w:color w:val="auto"/>
              </w:rPr>
              <w:t>79%</w:t>
            </w:r>
          </w:p>
        </w:tc>
        <w:tc>
          <w:tcPr>
            <w:tcW w:w="2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w:t>
            </w:r>
          </w:p>
        </w:tc>
      </w:tr>
      <w:tr>
        <w:trPr>
          <w:trHeight w:val="200"/>
        </w:trPr>
        <w:tc>
          <w:tcPr>
            <w:tcW w:w="200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Revenue</w:t>
            </w: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r>
      <w:tr>
        <w:trPr>
          <w:trHeight w:val="73"/>
        </w:trPr>
        <w:tc>
          <w:tcPr>
            <w:tcW w:w="200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bl>
    <w:p>
      <w:pPr>
        <w:spacing w:after="0" w:line="60" w:lineRule="exact"/>
        <w:rPr>
          <w:sz w:val="20"/>
          <w:szCs w:val="20"/>
          <w:color w:val="auto"/>
        </w:rPr>
      </w:pPr>
    </w:p>
    <w:p>
      <w:pPr>
        <w:jc w:val="both"/>
        <w:ind w:left="1120" w:hanging="358"/>
        <w:spacing w:after="0" w:line="281" w:lineRule="auto"/>
        <w:tabs>
          <w:tab w:leader="none" w:pos="11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Non-GAAP financial measure. See </w:t>
      </w:r>
      <w:r>
        <w:rPr>
          <w:rFonts w:ascii="Arial" w:cs="Arial" w:eastAsia="Arial" w:hAnsi="Arial"/>
          <w:sz w:val="14"/>
          <w:szCs w:val="14"/>
          <w:i w:val="1"/>
          <w:iCs w:val="1"/>
          <w:u w:val="single" w:color="auto"/>
          <w:color w:val="auto"/>
        </w:rPr>
        <w:t>Annex A</w:t>
      </w:r>
      <w:r>
        <w:rPr>
          <w:rFonts w:ascii="Arial" w:cs="Arial" w:eastAsia="Arial" w:hAnsi="Arial"/>
          <w:sz w:val="14"/>
          <w:szCs w:val="14"/>
          <w:i w:val="1"/>
          <w:iCs w:val="1"/>
          <w:color w:val="auto"/>
        </w:rPr>
        <w:t xml:space="preserve"> for additional information regarding non-GAAP financial measures and reconciliations of non-GAAP financial measures to their most directly comparable GAAP financial measure. In reviewing our actual 2025 performance relative to the performance targets, the Compensation Committee determined that it would be appropriate, consistent with past practices, to adjust Adjusted EBITDA to exclude the impact of the annual cash incentive awards. No other adjustments were made to Adjusted EBITDA.</w:t>
      </w:r>
    </w:p>
    <w:p>
      <w:pPr>
        <w:spacing w:after="0" w:line="103" w:lineRule="exact"/>
        <w:rPr>
          <w:sz w:val="20"/>
          <w:szCs w:val="20"/>
          <w:color w:val="auto"/>
        </w:rPr>
      </w:pPr>
    </w:p>
    <w:p>
      <w:pPr>
        <w:jc w:val="both"/>
        <w:ind w:left="760"/>
        <w:spacing w:after="0" w:line="292" w:lineRule="auto"/>
        <w:rPr>
          <w:sz w:val="20"/>
          <w:szCs w:val="20"/>
          <w:color w:val="auto"/>
        </w:rPr>
      </w:pPr>
      <w:r>
        <w:rPr>
          <w:rFonts w:ascii="Arial" w:cs="Arial" w:eastAsia="Arial" w:hAnsi="Arial"/>
          <w:sz w:val="16"/>
          <w:szCs w:val="16"/>
          <w:color w:val="auto"/>
        </w:rPr>
        <w:t>As a result, our named executive officers in the 2025 annual cash incentive program received a 74% bonus plan payout with respect to the 2025 performance year. Refer to the column “Non-Equity Incentive Plan Compensation” in the table appearing in the section “Compensation Tables — Summary Compensation Table” below in this proxy statement, for additional information.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Long-Term Incentive Compensation</w:t>
      </w:r>
    </w:p>
    <w:p>
      <w:pPr>
        <w:spacing w:after="0" w:line="162"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Our equity incentive plans are administered by the Compensation Committee and are designed to enable the Compensation Committee to provide incentive compensation to our employees in the form of stock unit awards, performance-based equity awards, restricted stock and other equity awards. The Compensation Committee believes that awarding our named executive officers non-cash, long-term equity incentive compensation, primarily in the form of long-term incentive awards which may increase or decrease in value depending on the satisfaction by us of pre-determined performance measures and/or an increase or decrease in the value of our common stock, more effectively aligns their interests with those of our stockholders. The Compensation Committee also believes that such awards will provide our named executive officers with an incentive to remain in their positions with us, because the determination as to whether a particular measure for our performance and/or an increase in the value of our common stock has been satisfied is typically made over an extended period of time.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target equity award values in 2025 for each of the named executive officers are set forth below:</w:t>
      </w:r>
    </w:p>
    <w:p>
      <w:pPr>
        <w:spacing w:after="0" w:line="148"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5"/>
                <w:szCs w:val="15"/>
                <w:b w:val="1"/>
                <w:bCs w:val="1"/>
                <w:color w:val="auto"/>
              </w:rPr>
              <w:t>2025 Target Equity Award Values</w:t>
            </w:r>
          </w:p>
        </w:tc>
        <w:tc>
          <w:tcPr>
            <w:tcW w:w="120" w:type="dxa"/>
            <w:vAlign w:val="bottom"/>
          </w:tcPr>
          <w:p>
            <w:pPr>
              <w:spacing w:after="0"/>
              <w:rPr>
                <w:sz w:val="16"/>
                <w:szCs w:val="16"/>
                <w:color w:val="auto"/>
              </w:rPr>
            </w:pPr>
          </w:p>
        </w:tc>
      </w:tr>
      <w:tr>
        <w:trPr>
          <w:trHeight w:val="208"/>
        </w:trPr>
        <w:tc>
          <w:tcPr>
            <w:tcW w:w="3640" w:type="dxa"/>
            <w:vAlign w:val="bottom"/>
            <w:tcBorders>
              <w:bottom w:val="single" w:sz="8" w:color="auto"/>
            </w:tcBorders>
          </w:tcPr>
          <w:p>
            <w:pPr>
              <w:spacing w:after="0" w:line="208" w:lineRule="exact"/>
              <w:rPr>
                <w:sz w:val="20"/>
                <w:szCs w:val="20"/>
                <w:color w:val="auto"/>
              </w:rPr>
            </w:pPr>
            <w:r>
              <w:rPr>
                <w:rFonts w:ascii="Arial" w:cs="Arial" w:eastAsia="Arial" w:hAnsi="Arial"/>
                <w:sz w:val="15"/>
                <w:szCs w:val="15"/>
                <w:b w:val="1"/>
                <w:bCs w:val="1"/>
                <w:color w:val="auto"/>
              </w:rPr>
              <w:t>​ Officer</w:t>
            </w:r>
            <w:r>
              <w:rPr>
                <w:rFonts w:ascii="Arial" w:cs="Arial" w:eastAsia="Arial" w:hAnsi="Arial"/>
                <w:sz w:val="19"/>
                <w:szCs w:val="19"/>
                <w:b w:val="1"/>
                <w:bCs w:val="1"/>
                <w:color w:val="auto"/>
                <w:vertAlign w:val="superscript"/>
              </w:rPr>
              <w:t>(1)</w:t>
            </w:r>
          </w:p>
        </w:tc>
        <w:tc>
          <w:tcPr>
            <w:tcW w:w="5560" w:type="dxa"/>
            <w:vAlign w:val="bottom"/>
            <w:tcBorders>
              <w:bottom w:val="single" w:sz="8" w:color="auto"/>
            </w:tcBorders>
            <w:gridSpan w:val="3"/>
          </w:tcPr>
          <w:p>
            <w:pPr>
              <w:ind w:left="2820"/>
              <w:spacing w:after="0" w:line="208" w:lineRule="exact"/>
              <w:rPr>
                <w:sz w:val="20"/>
                <w:szCs w:val="20"/>
                <w:color w:val="auto"/>
              </w:rPr>
            </w:pPr>
            <w:r>
              <w:rPr>
                <w:rFonts w:ascii="Arial" w:cs="Arial" w:eastAsia="Arial" w:hAnsi="Arial"/>
                <w:sz w:val="15"/>
                <w:szCs w:val="15"/>
                <w:b w:val="1"/>
                <w:bCs w:val="1"/>
                <w:color w:val="auto"/>
              </w:rPr>
              <w:t>​ ​ as a Percentage of Base Salary</w:t>
            </w:r>
            <w:r>
              <w:rPr>
                <w:rFonts w:ascii="Arial" w:cs="Arial" w:eastAsia="Arial" w:hAnsi="Arial"/>
                <w:sz w:val="19"/>
                <w:szCs w:val="19"/>
                <w:b w:val="1"/>
                <w:bCs w:val="1"/>
                <w:color w:val="auto"/>
                <w:vertAlign w:val="superscript"/>
              </w:rPr>
              <w:t>(2)</w:t>
            </w:r>
            <w:r>
              <w:rPr>
                <w:rFonts w:ascii="Arial" w:cs="Arial" w:eastAsia="Arial" w:hAnsi="Arial"/>
                <w:sz w:val="15"/>
                <w:szCs w:val="15"/>
                <w:b w:val="1"/>
                <w:bCs w:val="1"/>
                <w:color w:val="auto"/>
              </w:rPr>
              <w:t xml:space="preserve"> ​</w:t>
            </w:r>
          </w:p>
        </w:tc>
      </w:tr>
      <w:tr>
        <w:trPr>
          <w:trHeight w:val="196"/>
        </w:trPr>
        <w:tc>
          <w:tcPr>
            <w:tcW w:w="3640" w:type="dxa"/>
            <w:vAlign w:val="bottom"/>
            <w:shd w:val="clear" w:color="auto" w:fill="E5E5E5"/>
          </w:tcPr>
          <w:p>
            <w:pPr>
              <w:spacing w:after="0"/>
              <w:rPr>
                <w:sz w:val="20"/>
                <w:szCs w:val="20"/>
                <w:color w:val="auto"/>
              </w:rPr>
            </w:pPr>
            <w:r>
              <w:rPr>
                <w:rFonts w:ascii="Arial" w:cs="Arial" w:eastAsia="Arial" w:hAnsi="Arial"/>
                <w:sz w:val="15"/>
                <w:szCs w:val="15"/>
                <w:color w:val="auto"/>
              </w:rPr>
              <w:t>​ Fadel</w:t>
            </w:r>
          </w:p>
        </w:tc>
        <w:tc>
          <w:tcPr>
            <w:tcW w:w="3020" w:type="dxa"/>
            <w:vAlign w:val="bottom"/>
            <w:shd w:val="clear" w:color="auto" w:fill="E5E5E5"/>
          </w:tcPr>
          <w:p>
            <w:pPr>
              <w:ind w:left="2820"/>
              <w:spacing w:after="0"/>
              <w:rPr>
                <w:sz w:val="20"/>
                <w:szCs w:val="20"/>
                <w:color w:val="auto"/>
              </w:rPr>
            </w:pPr>
            <w:r>
              <w:rPr>
                <w:rFonts w:ascii="Arial" w:cs="Arial" w:eastAsia="Arial" w:hAnsi="Arial"/>
                <w:sz w:val="15"/>
                <w:szCs w:val="15"/>
                <w:color w:val="auto"/>
              </w:rPr>
              <w:t>​ ​</w:t>
            </w:r>
          </w:p>
        </w:tc>
        <w:tc>
          <w:tcPr>
            <w:tcW w:w="242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550%</w:t>
            </w:r>
          </w:p>
        </w:tc>
        <w:tc>
          <w:tcPr>
            <w:tcW w:w="12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5"/>
                <w:szCs w:val="15"/>
                <w:color w:val="auto"/>
              </w:rPr>
              <w:t>​ Karam</w:t>
            </w:r>
            <w:r>
              <w:rPr>
                <w:rFonts w:ascii="Arial" w:cs="Arial" w:eastAsia="Arial" w:hAnsi="Arial"/>
                <w:sz w:val="19"/>
                <w:szCs w:val="19"/>
                <w:color w:val="auto"/>
                <w:vertAlign w:val="superscript"/>
              </w:rPr>
              <w:t>(3)</w:t>
            </w:r>
          </w:p>
        </w:tc>
        <w:tc>
          <w:tcPr>
            <w:tcW w:w="3020" w:type="dxa"/>
            <w:vAlign w:val="bottom"/>
          </w:tcPr>
          <w:p>
            <w:pPr>
              <w:ind w:left="2820"/>
              <w:spacing w:after="0"/>
              <w:rPr>
                <w:sz w:val="20"/>
                <w:szCs w:val="20"/>
                <w:color w:val="auto"/>
              </w:rPr>
            </w:pPr>
            <w:r>
              <w:rPr>
                <w:rFonts w:ascii="Arial" w:cs="Arial" w:eastAsia="Arial" w:hAnsi="Arial"/>
                <w:sz w:val="15"/>
                <w:szCs w:val="15"/>
                <w:color w:val="auto"/>
              </w:rPr>
              <w:t>​ ​</w:t>
            </w:r>
          </w:p>
        </w:tc>
        <w:tc>
          <w:tcPr>
            <w:tcW w:w="2420" w:type="dxa"/>
            <w:vAlign w:val="bottom"/>
          </w:tcPr>
          <w:p>
            <w:pPr>
              <w:jc w:val="center"/>
              <w:spacing w:after="0"/>
              <w:rPr>
                <w:sz w:val="20"/>
                <w:szCs w:val="20"/>
                <w:color w:val="auto"/>
              </w:rPr>
            </w:pPr>
            <w:r>
              <w:rPr>
                <w:rFonts w:ascii="Arial" w:cs="Arial" w:eastAsia="Arial" w:hAnsi="Arial"/>
                <w:sz w:val="15"/>
                <w:szCs w:val="15"/>
                <w:color w:val="auto"/>
              </w:rPr>
              <w:t>450%</w:t>
            </w:r>
          </w:p>
        </w:tc>
        <w:tc>
          <w:tcPr>
            <w:tcW w:w="120" w:type="dxa"/>
            <w:vAlign w:val="bottom"/>
          </w:tcPr>
          <w:p>
            <w:pPr>
              <w:spacing w:after="0"/>
              <w:rPr>
                <w:sz w:val="20"/>
                <w:szCs w:val="20"/>
                <w:color w:val="auto"/>
              </w:rPr>
            </w:pPr>
            <w:r>
              <w:rPr>
                <w:rFonts w:ascii="Arial" w:cs="Arial" w:eastAsia="Arial" w:hAnsi="Arial"/>
                <w:sz w:val="15"/>
                <w:szCs w:val="15"/>
                <w:color w:val="auto"/>
              </w:rPr>
              <w:t>​</w:t>
            </w:r>
          </w:p>
        </w:tc>
      </w:tr>
      <w:tr>
        <w:trPr>
          <w:trHeight w:val="216"/>
        </w:trPr>
        <w:tc>
          <w:tcPr>
            <w:tcW w:w="3640" w:type="dxa"/>
            <w:vAlign w:val="bottom"/>
            <w:shd w:val="clear" w:color="auto" w:fill="E5E5E5"/>
          </w:tcPr>
          <w:p>
            <w:pPr>
              <w:spacing w:after="0"/>
              <w:rPr>
                <w:sz w:val="20"/>
                <w:szCs w:val="20"/>
                <w:color w:val="auto"/>
              </w:rPr>
            </w:pPr>
            <w:r>
              <w:rPr>
                <w:rFonts w:ascii="Arial" w:cs="Arial" w:eastAsia="Arial" w:hAnsi="Arial"/>
                <w:sz w:val="15"/>
                <w:szCs w:val="15"/>
                <w:color w:val="auto"/>
              </w:rPr>
              <w:t>​ Montrone</w:t>
            </w:r>
          </w:p>
        </w:tc>
        <w:tc>
          <w:tcPr>
            <w:tcW w:w="3020" w:type="dxa"/>
            <w:vAlign w:val="bottom"/>
            <w:shd w:val="clear" w:color="auto" w:fill="E5E5E5"/>
          </w:tcPr>
          <w:p>
            <w:pPr>
              <w:ind w:left="2820"/>
              <w:spacing w:after="0"/>
              <w:rPr>
                <w:sz w:val="20"/>
                <w:szCs w:val="20"/>
                <w:color w:val="auto"/>
              </w:rPr>
            </w:pPr>
            <w:r>
              <w:rPr>
                <w:rFonts w:ascii="Arial" w:cs="Arial" w:eastAsia="Arial" w:hAnsi="Arial"/>
                <w:sz w:val="15"/>
                <w:szCs w:val="15"/>
                <w:color w:val="auto"/>
              </w:rPr>
              <w:t>​ ​</w:t>
            </w:r>
          </w:p>
        </w:tc>
        <w:tc>
          <w:tcPr>
            <w:tcW w:w="2420" w:type="dxa"/>
            <w:vAlign w:val="bottom"/>
            <w:shd w:val="clear" w:color="auto" w:fill="E5E5E5"/>
          </w:tcPr>
          <w:p>
            <w:pPr>
              <w:jc w:val="center"/>
              <w:spacing w:after="0"/>
              <w:rPr>
                <w:sz w:val="20"/>
                <w:szCs w:val="20"/>
                <w:color w:val="auto"/>
              </w:rPr>
            </w:pPr>
            <w:r>
              <w:rPr>
                <w:rFonts w:ascii="Arial" w:cs="Arial" w:eastAsia="Arial" w:hAnsi="Arial"/>
                <w:sz w:val="15"/>
                <w:szCs w:val="15"/>
                <w:color w:val="auto"/>
              </w:rPr>
              <w:t>170%</w:t>
            </w:r>
          </w:p>
        </w:tc>
        <w:tc>
          <w:tcPr>
            <w:tcW w:w="120" w:type="dxa"/>
            <w:vAlign w:val="bottom"/>
            <w:shd w:val="clear" w:color="auto" w:fill="E5E5E5"/>
          </w:tcPr>
          <w:p>
            <w:pPr>
              <w:spacing w:after="0"/>
              <w:rPr>
                <w:sz w:val="20"/>
                <w:szCs w:val="20"/>
                <w:color w:val="auto"/>
              </w:rPr>
            </w:pPr>
            <w:r>
              <w:rPr>
                <w:rFonts w:ascii="Arial" w:cs="Arial" w:eastAsia="Arial" w:hAnsi="Arial"/>
                <w:sz w:val="15"/>
                <w:szCs w:val="15"/>
                <w:color w:val="auto"/>
              </w:rPr>
              <w:t>​</w:t>
            </w:r>
          </w:p>
        </w:tc>
      </w:tr>
      <w:tr>
        <w:trPr>
          <w:trHeight w:val="216"/>
        </w:trPr>
        <w:tc>
          <w:tcPr>
            <w:tcW w:w="3640" w:type="dxa"/>
            <w:vAlign w:val="bottom"/>
          </w:tcPr>
          <w:p>
            <w:pPr>
              <w:spacing w:after="0"/>
              <w:rPr>
                <w:sz w:val="20"/>
                <w:szCs w:val="20"/>
                <w:color w:val="auto"/>
              </w:rPr>
            </w:pPr>
            <w:r>
              <w:rPr>
                <w:rFonts w:ascii="Arial" w:cs="Arial" w:eastAsia="Arial" w:hAnsi="Arial"/>
                <w:sz w:val="15"/>
                <w:szCs w:val="15"/>
                <w:color w:val="auto"/>
              </w:rPr>
              <w:t>​ Blasquez</w:t>
            </w:r>
          </w:p>
        </w:tc>
        <w:tc>
          <w:tcPr>
            <w:tcW w:w="3020" w:type="dxa"/>
            <w:vAlign w:val="bottom"/>
          </w:tcPr>
          <w:p>
            <w:pPr>
              <w:ind w:left="2820"/>
              <w:spacing w:after="0"/>
              <w:rPr>
                <w:sz w:val="20"/>
                <w:szCs w:val="20"/>
                <w:color w:val="auto"/>
              </w:rPr>
            </w:pPr>
            <w:r>
              <w:rPr>
                <w:rFonts w:ascii="Arial" w:cs="Arial" w:eastAsia="Arial" w:hAnsi="Arial"/>
                <w:sz w:val="15"/>
                <w:szCs w:val="15"/>
                <w:color w:val="auto"/>
              </w:rPr>
              <w:t>​ ​</w:t>
            </w:r>
          </w:p>
        </w:tc>
        <w:tc>
          <w:tcPr>
            <w:tcW w:w="2420" w:type="dxa"/>
            <w:vAlign w:val="bottom"/>
          </w:tcPr>
          <w:p>
            <w:pPr>
              <w:jc w:val="center"/>
              <w:spacing w:after="0"/>
              <w:rPr>
                <w:sz w:val="20"/>
                <w:szCs w:val="20"/>
                <w:color w:val="auto"/>
              </w:rPr>
            </w:pPr>
            <w:r>
              <w:rPr>
                <w:rFonts w:ascii="Arial" w:cs="Arial" w:eastAsia="Arial" w:hAnsi="Arial"/>
                <w:sz w:val="15"/>
                <w:szCs w:val="15"/>
                <w:color w:val="auto"/>
              </w:rPr>
              <w:t>170%</w:t>
            </w:r>
          </w:p>
        </w:tc>
        <w:tc>
          <w:tcPr>
            <w:tcW w:w="120" w:type="dxa"/>
            <w:vAlign w:val="bottom"/>
          </w:tcPr>
          <w:p>
            <w:pPr>
              <w:spacing w:after="0"/>
              <w:rPr>
                <w:sz w:val="20"/>
                <w:szCs w:val="20"/>
                <w:color w:val="auto"/>
              </w:rPr>
            </w:pPr>
            <w:r>
              <w:rPr>
                <w:rFonts w:ascii="Arial" w:cs="Arial" w:eastAsia="Arial" w:hAnsi="Arial"/>
                <w:sz w:val="15"/>
                <w:szCs w:val="15"/>
                <w:color w:val="auto"/>
              </w:rPr>
              <w:t>​</w:t>
            </w:r>
          </w:p>
        </w:tc>
      </w:tr>
      <w:tr>
        <w:trPr>
          <w:trHeight w:val="229"/>
        </w:trPr>
        <w:tc>
          <w:tcPr>
            <w:tcW w:w="3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5"/>
                <w:szCs w:val="15"/>
                <w:color w:val="auto"/>
              </w:rPr>
              <w:t>​ Pechersky</w:t>
            </w:r>
          </w:p>
        </w:tc>
        <w:tc>
          <w:tcPr>
            <w:tcW w:w="3020" w:type="dxa"/>
            <w:vAlign w:val="bottom"/>
            <w:tcBorders>
              <w:bottom w:val="single" w:sz="8" w:color="auto"/>
            </w:tcBorders>
            <w:shd w:val="clear" w:color="auto" w:fill="E5E5E5"/>
          </w:tcPr>
          <w:p>
            <w:pPr>
              <w:ind w:left="2820"/>
              <w:spacing w:after="0"/>
              <w:rPr>
                <w:sz w:val="20"/>
                <w:szCs w:val="20"/>
                <w:color w:val="auto"/>
              </w:rPr>
            </w:pPr>
            <w:r>
              <w:rPr>
                <w:rFonts w:ascii="Arial" w:cs="Arial" w:eastAsia="Arial" w:hAnsi="Arial"/>
                <w:sz w:val="15"/>
                <w:szCs w:val="15"/>
                <w:color w:val="auto"/>
              </w:rPr>
              <w:t>​ ​</w:t>
            </w:r>
          </w:p>
        </w:tc>
        <w:tc>
          <w:tcPr>
            <w:tcW w:w="24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5"/>
                <w:szCs w:val="15"/>
                <w:color w:val="auto"/>
              </w:rPr>
              <w:t>120%</w:t>
            </w:r>
          </w:p>
        </w:tc>
        <w:tc>
          <w:tcPr>
            <w:tcW w:w="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5"/>
                <w:szCs w:val="15"/>
                <w:color w:val="auto"/>
              </w:rPr>
              <w:t>​</w:t>
            </w:r>
          </w:p>
        </w:tc>
      </w:tr>
    </w:tbl>
    <w:p>
      <w:pPr>
        <w:spacing w:after="0" w:line="114" w:lineRule="exact"/>
        <w:rPr>
          <w:sz w:val="20"/>
          <w:szCs w:val="20"/>
          <w:color w:val="auto"/>
        </w:rPr>
      </w:pPr>
    </w:p>
    <w:p>
      <w:pPr>
        <w:ind w:left="1120" w:hanging="358"/>
        <w:spacing w:after="0"/>
        <w:tabs>
          <w:tab w:leader="none" w:pos="11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Mr. Khouri because he was not employed by the Company in February 2025.</w:t>
      </w:r>
    </w:p>
    <w:p>
      <w:pPr>
        <w:spacing w:after="0" w:line="41" w:lineRule="exact"/>
        <w:rPr>
          <w:rFonts w:ascii="Arial" w:cs="Arial" w:eastAsia="Arial" w:hAnsi="Arial"/>
          <w:sz w:val="14"/>
          <w:szCs w:val="14"/>
          <w:i w:val="1"/>
          <w:iCs w:val="1"/>
          <w:color w:val="auto"/>
        </w:rPr>
      </w:pPr>
    </w:p>
    <w:p>
      <w:pPr>
        <w:jc w:val="both"/>
        <w:ind w:left="1120" w:hanging="358"/>
        <w:spacing w:after="0" w:line="275" w:lineRule="auto"/>
        <w:tabs>
          <w:tab w:leader="none" w:pos="11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target annual award values of the performance share units and restricted stock units granted to each executive, reflected as a percentage of each executive’s annual base salary. These award values were converted from dollar values into a number of performance share units and a number of restricted stock units, in each case based on the closing price of one share of our common stock on the trading day immediately preceding the grant date. The number of performance share units and restricted stock units resulting from the conversion of the award value to the number of units awarded is rounded to the nearest whole unit, and the award values may differ from the accounting grant date fair value under ASC 718.</w:t>
      </w:r>
    </w:p>
    <w:p>
      <w:pPr>
        <w:ind w:left="1120" w:hanging="358"/>
        <w:spacing w:after="0"/>
        <w:tabs>
          <w:tab w:leader="none" w:pos="11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Mr. Karam’s target as CEO.</w:t>
      </w:r>
    </w:p>
    <w:p>
      <w:pPr>
        <w:spacing w:after="0" w:line="21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2025 LTIP Award Types</w:t>
      </w:r>
    </w:p>
    <w:p>
      <w:pPr>
        <w:spacing w:after="0" w:line="162" w:lineRule="exact"/>
        <w:rPr>
          <w:sz w:val="20"/>
          <w:szCs w:val="20"/>
          <w:color w:val="auto"/>
        </w:rPr>
      </w:pPr>
    </w:p>
    <w:p>
      <w:pPr>
        <w:jc w:val="both"/>
        <w:ind w:left="760"/>
        <w:spacing w:after="0" w:line="283" w:lineRule="auto"/>
        <w:rPr>
          <w:sz w:val="20"/>
          <w:szCs w:val="20"/>
          <w:color w:val="auto"/>
        </w:rPr>
      </w:pPr>
      <w:r>
        <w:rPr>
          <w:rFonts w:ascii="Arial" w:cs="Arial" w:eastAsia="Arial" w:hAnsi="Arial"/>
          <w:sz w:val="16"/>
          <w:szCs w:val="16"/>
          <w:color w:val="auto"/>
        </w:rPr>
        <w:t>The design of our long-term incentive compensation emphasizes long-term value creation by tying more than a majority of awards to shareholder value over a three-year period and outperforming other companies in the S&amp;P 1500 Specialty Retail Index. As noted above under “Investor Outreach”, overall feedback from the Company’s investor outreach effort has been supportive of our executive compensation program, including our long-term incentive compensation design. The long-term</w:t>
      </w:r>
    </w:p>
    <w:p>
      <w:pPr>
        <w:spacing w:after="0" w:line="200" w:lineRule="exact"/>
        <w:rPr>
          <w:sz w:val="20"/>
          <w:szCs w:val="20"/>
          <w:color w:val="auto"/>
        </w:rPr>
      </w:pPr>
    </w:p>
    <w:p>
      <w:pPr>
        <w:spacing w:after="0" w:line="233"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36</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760" w:right="40"/>
        <w:spacing w:after="0" w:line="286" w:lineRule="auto"/>
        <w:rPr>
          <w:sz w:val="20"/>
          <w:szCs w:val="20"/>
          <w:color w:val="auto"/>
        </w:rPr>
      </w:pPr>
      <w:r>
        <w:rPr>
          <w:rFonts w:ascii="Arial" w:cs="Arial" w:eastAsia="Arial" w:hAnsi="Arial"/>
          <w:sz w:val="16"/>
          <w:szCs w:val="16"/>
          <w:color w:val="auto"/>
        </w:rPr>
        <w:t>incentive compensation awards for 2025 were comprised of two vehicles, with emphasis on the portion of the long-term incentive award which is contingent on relative stock price performance:</w:t>
      </w:r>
    </w:p>
    <w:p>
      <w:pPr>
        <w:spacing w:after="0" w:line="123"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780" w:type="dxa"/>
            <w:vAlign w:val="bottom"/>
            <w:tcBorders>
              <w:top w:val="single" w:sz="8" w:color="auto"/>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3060" w:type="dxa"/>
            <w:vAlign w:val="bottom"/>
            <w:tcBorders>
              <w:top w:val="single" w:sz="8" w:color="auto"/>
              <w:bottom w:val="single" w:sz="8" w:color="auto"/>
            </w:tcBorders>
            <w:shd w:val="clear" w:color="auto" w:fill="E5E5E5"/>
          </w:tcPr>
          <w:p>
            <w:pPr>
              <w:jc w:val="center"/>
              <w:spacing w:after="0"/>
              <w:rPr>
                <w:sz w:val="20"/>
                <w:szCs w:val="20"/>
                <w:color w:val="auto"/>
              </w:rPr>
            </w:pPr>
            <w:r>
              <w:rPr>
                <w:rFonts w:ascii="Arial" w:cs="Arial" w:eastAsia="Arial" w:hAnsi="Arial"/>
                <w:sz w:val="15"/>
                <w:szCs w:val="15"/>
                <w:b w:val="1"/>
                <w:bCs w:val="1"/>
                <w:color w:val="auto"/>
                <w:w w:val="98"/>
              </w:rPr>
              <w:t>Award Type</w:t>
            </w:r>
          </w:p>
        </w:tc>
        <w:tc>
          <w:tcPr>
            <w:tcW w:w="760" w:type="dxa"/>
            <w:vAlign w:val="bottom"/>
            <w:tcBorders>
              <w:top w:val="single" w:sz="8" w:color="auto"/>
              <w:bottom w:val="single" w:sz="8" w:color="auto"/>
              <w:right w:val="single" w:sz="8" w:color="auto"/>
            </w:tcBorders>
            <w:shd w:val="clear" w:color="auto" w:fill="E5E5E5"/>
          </w:tcPr>
          <w:p>
            <w:pPr>
              <w:ind w:left="70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4420" w:type="dxa"/>
            <w:vAlign w:val="bottom"/>
            <w:tcBorders>
              <w:top w:val="single" w:sz="8" w:color="auto"/>
              <w:bottom w:val="single" w:sz="8" w:color="auto"/>
            </w:tcBorders>
            <w:shd w:val="clear" w:color="auto" w:fill="E5E5E5"/>
          </w:tcPr>
          <w:p>
            <w:pPr>
              <w:ind w:left="1240"/>
              <w:spacing w:after="0"/>
              <w:rPr>
                <w:sz w:val="20"/>
                <w:szCs w:val="20"/>
                <w:color w:val="auto"/>
              </w:rPr>
            </w:pPr>
            <w:r>
              <w:rPr>
                <w:rFonts w:ascii="Arial" w:cs="Arial" w:eastAsia="Arial" w:hAnsi="Arial"/>
                <w:sz w:val="15"/>
                <w:szCs w:val="15"/>
                <w:b w:val="1"/>
                <w:bCs w:val="1"/>
                <w:color w:val="auto"/>
              </w:rPr>
              <w:t>Description and Weighting</w:t>
            </w:r>
          </w:p>
        </w:tc>
        <w:tc>
          <w:tcPr>
            <w:tcW w:w="10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5"/>
                <w:szCs w:val="15"/>
                <w:b w:val="1"/>
                <w:bCs w:val="1"/>
                <w:color w:val="auto"/>
              </w:rPr>
              <w:t>​</w:t>
            </w:r>
          </w:p>
        </w:tc>
      </w:tr>
      <w:tr>
        <w:trPr>
          <w:trHeight w:val="192"/>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60" w:type="dxa"/>
            <w:vAlign w:val="bottom"/>
          </w:tcPr>
          <w:p>
            <w:pPr>
              <w:jc w:val="center"/>
              <w:spacing w:after="0"/>
              <w:rPr>
                <w:sz w:val="20"/>
                <w:szCs w:val="20"/>
                <w:color w:val="auto"/>
              </w:rPr>
            </w:pPr>
            <w:r>
              <w:rPr>
                <w:rFonts w:ascii="Arial" w:cs="Arial" w:eastAsia="Arial" w:hAnsi="Arial"/>
                <w:sz w:val="15"/>
                <w:szCs w:val="15"/>
                <w:color w:val="auto"/>
              </w:rPr>
              <w:t>Performance Stock Units</w:t>
            </w:r>
          </w:p>
        </w:tc>
        <w:tc>
          <w:tcPr>
            <w:tcW w:w="76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w:t>
            </w:r>
          </w:p>
        </w:tc>
        <w:tc>
          <w:tcPr>
            <w:tcW w:w="4500" w:type="dxa"/>
            <w:vAlign w:val="bottom"/>
            <w:gridSpan w:val="2"/>
          </w:tcPr>
          <w:p>
            <w:pPr>
              <w:ind w:left="40"/>
              <w:spacing w:after="0"/>
              <w:rPr>
                <w:sz w:val="20"/>
                <w:szCs w:val="20"/>
                <w:color w:val="auto"/>
              </w:rPr>
            </w:pPr>
            <w:r>
              <w:rPr>
                <w:rFonts w:ascii="Arial" w:cs="Arial" w:eastAsia="Arial" w:hAnsi="Arial"/>
                <w:sz w:val="15"/>
                <w:szCs w:val="15"/>
                <w:color w:val="auto"/>
              </w:rPr>
              <w:t>​The performance stock units granted by our Compensation</w:t>
            </w:r>
          </w:p>
        </w:tc>
        <w:tc>
          <w:tcPr>
            <w:tcW w:w="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Committee in February 2025 cliff vest after three years based on</w:t>
            </w:r>
          </w:p>
        </w:tc>
        <w:tc>
          <w:tcPr>
            <w:tcW w:w="100" w:type="dxa"/>
            <w:vAlign w:val="bottom"/>
            <w:tcBorders>
              <w:right w:val="single" w:sz="8" w:color="auto"/>
            </w:tcBorders>
          </w:tcPr>
          <w:p>
            <w:pPr>
              <w:spacing w:after="0"/>
              <w:rPr>
                <w:sz w:val="16"/>
                <w:szCs w:val="16"/>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relative TSR performance and were weighted as 75% of the</w:t>
            </w:r>
          </w:p>
        </w:tc>
        <w:tc>
          <w:tcPr>
            <w:tcW w:w="100" w:type="dxa"/>
            <w:vAlign w:val="bottom"/>
            <w:tcBorders>
              <w:right w:val="single" w:sz="8" w:color="auto"/>
            </w:tcBorders>
          </w:tcPr>
          <w:p>
            <w:pPr>
              <w:spacing w:after="0"/>
              <w:rPr>
                <w:sz w:val="16"/>
                <w:szCs w:val="16"/>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LTIP awards granted. Awards of performance-based stock units</w:t>
            </w:r>
          </w:p>
        </w:tc>
        <w:tc>
          <w:tcPr>
            <w:tcW w:w="100" w:type="dxa"/>
            <w:vAlign w:val="bottom"/>
            <w:tcBorders>
              <w:right w:val="single" w:sz="8" w:color="auto"/>
            </w:tcBorders>
          </w:tcPr>
          <w:p>
            <w:pPr>
              <w:spacing w:after="0"/>
              <w:rPr>
                <w:sz w:val="16"/>
                <w:szCs w:val="16"/>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provide an incentive for our named executive officers to focus on</w:t>
            </w:r>
          </w:p>
        </w:tc>
        <w:tc>
          <w:tcPr>
            <w:tcW w:w="100" w:type="dxa"/>
            <w:vAlign w:val="bottom"/>
            <w:tcBorders>
              <w:right w:val="single" w:sz="8" w:color="auto"/>
            </w:tcBorders>
          </w:tcPr>
          <w:p>
            <w:pPr>
              <w:spacing w:after="0"/>
              <w:rPr>
                <w:sz w:val="16"/>
                <w:szCs w:val="16"/>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shareholder value over a multi-year period and outperform other</w:t>
            </w:r>
          </w:p>
        </w:tc>
        <w:tc>
          <w:tcPr>
            <w:tcW w:w="100" w:type="dxa"/>
            <w:vAlign w:val="bottom"/>
            <w:tcBorders>
              <w:right w:val="single" w:sz="8" w:color="auto"/>
            </w:tcBorders>
          </w:tcPr>
          <w:p>
            <w:pPr>
              <w:spacing w:after="0"/>
              <w:rPr>
                <w:sz w:val="16"/>
                <w:szCs w:val="16"/>
                <w:color w:val="auto"/>
              </w:rPr>
            </w:pPr>
          </w:p>
        </w:tc>
      </w:tr>
      <w:tr>
        <w:trPr>
          <w:trHeight w:val="213"/>
        </w:trPr>
        <w:tc>
          <w:tcPr>
            <w:tcW w:w="780" w:type="dxa"/>
            <w:vAlign w:val="bottom"/>
            <w:tcBorders>
              <w:left w:val="single" w:sz="8" w:color="auto"/>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companies in the S&amp;P 1500 Specialty Retail Index.</w:t>
            </w:r>
          </w:p>
        </w:tc>
        <w:tc>
          <w:tcPr>
            <w:tcW w:w="100" w:type="dxa"/>
            <w:vAlign w:val="bottom"/>
            <w:tcBorders>
              <w:bottom w:val="single" w:sz="8" w:color="auto"/>
              <w:right w:val="single" w:sz="8" w:color="auto"/>
            </w:tcBorders>
          </w:tcPr>
          <w:p>
            <w:pPr>
              <w:spacing w:after="0"/>
              <w:rPr>
                <w:sz w:val="18"/>
                <w:szCs w:val="18"/>
                <w:color w:val="auto"/>
              </w:rPr>
            </w:pPr>
          </w:p>
        </w:tc>
      </w:tr>
      <w:tr>
        <w:trPr>
          <w:trHeight w:val="199"/>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60" w:type="dxa"/>
            <w:vAlign w:val="bottom"/>
          </w:tcPr>
          <w:p>
            <w:pPr>
              <w:jc w:val="center"/>
              <w:spacing w:after="0"/>
              <w:rPr>
                <w:sz w:val="20"/>
                <w:szCs w:val="20"/>
                <w:color w:val="auto"/>
              </w:rPr>
            </w:pPr>
            <w:r>
              <w:rPr>
                <w:rFonts w:ascii="Arial" w:cs="Arial" w:eastAsia="Arial" w:hAnsi="Arial"/>
                <w:sz w:val="15"/>
                <w:szCs w:val="15"/>
                <w:color w:val="auto"/>
              </w:rPr>
              <w:t>Restricted Stock Units</w:t>
            </w:r>
          </w:p>
        </w:tc>
        <w:tc>
          <w:tcPr>
            <w:tcW w:w="76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w:t>
            </w:r>
          </w:p>
        </w:tc>
        <w:tc>
          <w:tcPr>
            <w:tcW w:w="4500" w:type="dxa"/>
            <w:vAlign w:val="bottom"/>
            <w:gridSpan w:val="2"/>
          </w:tcPr>
          <w:p>
            <w:pPr>
              <w:ind w:left="40"/>
              <w:spacing w:after="0"/>
              <w:rPr>
                <w:sz w:val="20"/>
                <w:szCs w:val="20"/>
                <w:color w:val="auto"/>
              </w:rPr>
            </w:pPr>
            <w:r>
              <w:rPr>
                <w:rFonts w:ascii="Arial" w:cs="Arial" w:eastAsia="Arial" w:hAnsi="Arial"/>
                <w:sz w:val="15"/>
                <w:szCs w:val="15"/>
                <w:color w:val="auto"/>
              </w:rPr>
              <w:t>​The restricted stock units granted by our Compensation</w:t>
            </w:r>
          </w:p>
        </w:tc>
        <w:tc>
          <w:tcPr>
            <w:tcW w:w="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Committee in February 2025 vest ratably over three years and</w:t>
            </w:r>
          </w:p>
        </w:tc>
        <w:tc>
          <w:tcPr>
            <w:tcW w:w="100" w:type="dxa"/>
            <w:vAlign w:val="bottom"/>
            <w:tcBorders>
              <w:right w:val="single" w:sz="8" w:color="auto"/>
            </w:tcBorders>
          </w:tcPr>
          <w:p>
            <w:pPr>
              <w:spacing w:after="0"/>
              <w:rPr>
                <w:sz w:val="16"/>
                <w:szCs w:val="16"/>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were weighted as 25% of the LTIP awards granted. Awards of</w:t>
            </w:r>
          </w:p>
        </w:tc>
        <w:tc>
          <w:tcPr>
            <w:tcW w:w="100" w:type="dxa"/>
            <w:vAlign w:val="bottom"/>
            <w:tcBorders>
              <w:right w:val="single" w:sz="8" w:color="auto"/>
            </w:tcBorders>
          </w:tcPr>
          <w:p>
            <w:pPr>
              <w:spacing w:after="0"/>
              <w:rPr>
                <w:sz w:val="16"/>
                <w:szCs w:val="16"/>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time-based restricted stock units focus on alignment with our</w:t>
            </w:r>
          </w:p>
        </w:tc>
        <w:tc>
          <w:tcPr>
            <w:tcW w:w="100" w:type="dxa"/>
            <w:vAlign w:val="bottom"/>
            <w:tcBorders>
              <w:right w:val="single" w:sz="8" w:color="auto"/>
            </w:tcBorders>
          </w:tcPr>
          <w:p>
            <w:pPr>
              <w:spacing w:after="0"/>
              <w:rPr>
                <w:sz w:val="16"/>
                <w:szCs w:val="16"/>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stock price while also providing an additional incentive for our</w:t>
            </w:r>
          </w:p>
        </w:tc>
        <w:tc>
          <w:tcPr>
            <w:tcW w:w="100" w:type="dxa"/>
            <w:vAlign w:val="bottom"/>
            <w:tcBorders>
              <w:right w:val="single" w:sz="8" w:color="auto"/>
            </w:tcBorders>
          </w:tcPr>
          <w:p>
            <w:pPr>
              <w:spacing w:after="0"/>
              <w:rPr>
                <w:sz w:val="16"/>
                <w:szCs w:val="16"/>
                <w:color w:val="auto"/>
              </w:rPr>
            </w:pPr>
          </w:p>
        </w:tc>
      </w:tr>
      <w:tr>
        <w:trPr>
          <w:trHeight w:val="200"/>
        </w:trPr>
        <w:tc>
          <w:tcPr>
            <w:tcW w:w="78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named executive officers to remain in their positions with us.</w:t>
            </w:r>
          </w:p>
        </w:tc>
        <w:tc>
          <w:tcPr>
            <w:tcW w:w="100" w:type="dxa"/>
            <w:vAlign w:val="bottom"/>
            <w:tcBorders>
              <w:right w:val="single" w:sz="8" w:color="auto"/>
            </w:tcBorders>
          </w:tcPr>
          <w:p>
            <w:pPr>
              <w:spacing w:after="0"/>
              <w:rPr>
                <w:sz w:val="17"/>
                <w:szCs w:val="17"/>
                <w:color w:val="auto"/>
              </w:rPr>
            </w:pPr>
          </w:p>
        </w:tc>
      </w:tr>
      <w:tr>
        <w:trPr>
          <w:trHeight w:val="73"/>
        </w:trPr>
        <w:tc>
          <w:tcPr>
            <w:tcW w:w="780" w:type="dxa"/>
            <w:vAlign w:val="bottom"/>
            <w:tcBorders>
              <w:left w:val="single" w:sz="8" w:color="auto"/>
              <w:bottom w:val="single" w:sz="8" w:color="auto"/>
            </w:tcBorders>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r>
    </w:tbl>
    <w:p>
      <w:pPr>
        <w:spacing w:after="0" w:line="121" w:lineRule="exact"/>
        <w:rPr>
          <w:sz w:val="20"/>
          <w:szCs w:val="20"/>
          <w:color w:val="auto"/>
        </w:rPr>
      </w:pPr>
    </w:p>
    <w:p>
      <w:pPr>
        <w:jc w:val="both"/>
        <w:ind w:left="760" w:right="40"/>
        <w:spacing w:after="0" w:line="263" w:lineRule="auto"/>
        <w:rPr>
          <w:sz w:val="20"/>
          <w:szCs w:val="20"/>
          <w:color w:val="auto"/>
        </w:rPr>
      </w:pPr>
      <w:r>
        <w:rPr>
          <w:rFonts w:ascii="Arial" w:cs="Arial" w:eastAsia="Arial" w:hAnsi="Arial"/>
          <w:sz w:val="16"/>
          <w:szCs w:val="16"/>
          <w:color w:val="auto"/>
        </w:rPr>
        <w:t>The Compensation Committee has adopted a relative TSR metric over a three-year measurement period as the vesting condition for grants of performance stock units under our long-term incentive compensation program. The Compensation Committee made this decision to tie the performance of our common stock to executive compensation and because the Compensation Committee believes that a relative measure is a more appropriate basis for measuring long-term performance than an absolute measure. The Compensation Committee also took into consideration the fact that our annual cash incentive program includes an annual Adjusted EBITDA metric. The Compensation Committee selected a three-year period over which to measure relative TSR based upon the time period utilized with respect to awards made by similarly situated public companies in the retail industry, as well as upon its belief that a three-year measurement period was appropriate to place an emphasis on our relative TSR over an extended period of time, as opposed to the single year measure which is utilized in our annual cash incentive program.</w:t>
      </w:r>
    </w:p>
    <w:p>
      <w:pPr>
        <w:spacing w:after="0" w:line="318"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The Compensation Committee selected the S&amp;P 1500 Specialty Retail Index as the comparison group for measuring our relative TSR over the applicable measurement period because it included many of the Company’s peers, represented the overall retail environment, and, in the determination of the Compensation Committee, was comprised of the companies similar, in terms of operations and scope of operations, to the Company. The Compensation Committee adopted the following payout ranges applicable to the 2025 awards of performance-based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0" w:lineRule="exact"/>
        <w:rPr>
          <w:sz w:val="20"/>
          <w:szCs w:val="20"/>
          <w:color w:val="auto"/>
        </w:rPr>
      </w:pP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420" w:type="dxa"/>
            <w:vAlign w:val="bottom"/>
          </w:tcPr>
          <w:p>
            <w:pPr>
              <w:ind w:left="280"/>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0" w:type="dxa"/>
            <w:vAlign w:val="bottom"/>
            <w:gridSpan w:val="4"/>
          </w:tcPr>
          <w:p>
            <w:pPr>
              <w:ind w:left="600"/>
              <w:spacing w:after="0"/>
              <w:rPr>
                <w:sz w:val="20"/>
                <w:szCs w:val="20"/>
                <w:color w:val="auto"/>
              </w:rPr>
            </w:pPr>
            <w:r>
              <w:rPr>
                <w:rFonts w:ascii="Arial" w:cs="Arial" w:eastAsia="Arial" w:hAnsi="Arial"/>
                <w:sz w:val="15"/>
                <w:szCs w:val="15"/>
                <w:b w:val="1"/>
                <w:bCs w:val="1"/>
                <w:color w:val="auto"/>
              </w:rPr>
              <w:t>Performance Stock Unit Payout Chart</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gridSpan w:val="2"/>
          </w:tcPr>
          <w:p>
            <w:pPr>
              <w:ind w:lef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7"/>
        </w:trPr>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UPBD’s TSR Percentile Rank in the</w:t>
            </w: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ind w:left="280"/>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spacing w:after="0"/>
              <w:rPr>
                <w:sz w:val="19"/>
                <w:szCs w:val="19"/>
                <w:color w:val="auto"/>
              </w:rPr>
            </w:pPr>
          </w:p>
        </w:tc>
        <w:tc>
          <w:tcPr>
            <w:tcW w:w="2940" w:type="dxa"/>
            <w:vAlign w:val="bottom"/>
            <w:gridSpan w:val="2"/>
          </w:tcPr>
          <w:p>
            <w:pPr>
              <w:ind w:left="500"/>
              <w:spacing w:after="0"/>
              <w:rPr>
                <w:sz w:val="20"/>
                <w:szCs w:val="20"/>
                <w:color w:val="auto"/>
              </w:rPr>
            </w:pPr>
            <w:r>
              <w:rPr>
                <w:rFonts w:ascii="Arial" w:cs="Arial" w:eastAsia="Arial" w:hAnsi="Arial"/>
                <w:sz w:val="15"/>
                <w:szCs w:val="15"/>
                <w:b w:val="1"/>
                <w:bCs w:val="1"/>
                <w:color w:val="auto"/>
              </w:rPr>
              <w:t>S&amp;P 1500 Specialty Retail Index</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ind w:left="260"/>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ind w:left="920"/>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Payout</w:t>
            </w:r>
          </w:p>
        </w:tc>
        <w:tc>
          <w:tcPr>
            <w:tcW w:w="380" w:type="dxa"/>
            <w:vAlign w:val="bottom"/>
            <w:gridSpan w:val="2"/>
          </w:tcPr>
          <w:p>
            <w:pPr>
              <w:ind w:lef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3"/>
        </w:trPr>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5"/>
                <w:szCs w:val="15"/>
                <w:b w:val="1"/>
                <w:bCs w:val="1"/>
                <w:color w:val="auto"/>
              </w:rPr>
              <w:t>&gt;=</w:t>
            </w:r>
          </w:p>
        </w:tc>
        <w:tc>
          <w:tcPr>
            <w:tcW w:w="14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vMerge w:val="restart"/>
          </w:tcPr>
          <w:p>
            <w:pPr>
              <w:ind w:left="300"/>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auto"/>
            </w:tcBorders>
          </w:tcPr>
          <w:p>
            <w:pPr>
              <w:jc w:val="right"/>
              <w:ind w:right="328"/>
              <w:spacing w:after="0"/>
              <w:rPr>
                <w:sz w:val="20"/>
                <w:szCs w:val="20"/>
                <w:color w:val="auto"/>
              </w:rPr>
            </w:pPr>
            <w:r>
              <w:rPr>
                <w:rFonts w:ascii="Arial" w:cs="Arial" w:eastAsia="Arial" w:hAnsi="Arial"/>
                <w:sz w:val="15"/>
                <w:szCs w:val="15"/>
                <w:b w:val="1"/>
                <w:bCs w:val="1"/>
                <w:color w:val="auto"/>
              </w:rPr>
              <w:t>&lt;</w:t>
            </w:r>
          </w:p>
        </w:tc>
        <w:tc>
          <w:tcPr>
            <w:tcW w:w="6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w:t>
            </w:r>
          </w:p>
        </w:tc>
        <w:tc>
          <w:tcPr>
            <w:tcW w:w="500" w:type="dxa"/>
            <w:vAlign w:val="bottom"/>
            <w:tcBorders>
              <w:top w:val="single" w:sz="8" w:color="auto"/>
            </w:tcBorders>
            <w:vMerge w:val="restart"/>
          </w:tcPr>
          <w:p>
            <w:pPr>
              <w:ind w:left="300"/>
              <w:spacing w:after="0"/>
              <w:rPr>
                <w:sz w:val="20"/>
                <w:szCs w:val="20"/>
                <w:color w:val="auto"/>
              </w:rPr>
            </w:pPr>
            <w:r>
              <w:rPr>
                <w:rFonts w:ascii="Arial" w:cs="Arial" w:eastAsia="Arial" w:hAnsi="Arial"/>
                <w:sz w:val="15"/>
                <w:szCs w:val="15"/>
                <w:b w:val="1"/>
                <w:bCs w:val="1"/>
                <w:color w:val="auto"/>
              </w:rPr>
              <w:t>​</w:t>
            </w:r>
          </w:p>
        </w:tc>
        <w:tc>
          <w:tcPr>
            <w:tcW w:w="480" w:type="dxa"/>
            <w:vAlign w:val="bottom"/>
            <w:tcBorders>
              <w:top w:val="single" w:sz="8" w:color="auto"/>
            </w:tcBorders>
            <w:vMerge w:val="restart"/>
          </w:tcPr>
          <w:p>
            <w:pPr>
              <w:ind w:left="420"/>
              <w:spacing w:after="0"/>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5"/>
                <w:szCs w:val="15"/>
                <w:b w:val="1"/>
                <w:bCs w:val="1"/>
                <w:color w:val="auto"/>
              </w:rPr>
              <w:t>​</w:t>
            </w:r>
          </w:p>
        </w:tc>
        <w:tc>
          <w:tcPr>
            <w:tcW w:w="340" w:type="dxa"/>
            <w:vAlign w:val="bottom"/>
            <w:tcBorders>
              <w:top w:val="single" w:sz="8" w:color="auto"/>
            </w:tcBorders>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ind w:left="120"/>
              <w:spacing w:after="0" w:line="68" w:lineRule="exact"/>
              <w:rPr>
                <w:sz w:val="20"/>
                <w:szCs w:val="20"/>
                <w:color w:val="auto"/>
              </w:rPr>
            </w:pPr>
            <w:r>
              <w:rPr>
                <w:rFonts w:ascii="Arial" w:cs="Arial" w:eastAsia="Arial" w:hAnsi="Arial"/>
                <w:sz w:val="7"/>
                <w:szCs w:val="7"/>
                <w:b w:val="1"/>
                <w:bCs w:val="1"/>
                <w:color w:val="auto"/>
              </w:rPr>
              <w:t>​</w:t>
            </w:r>
          </w:p>
        </w:tc>
        <w:tc>
          <w:tcPr>
            <w:tcW w:w="14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20" w:type="dxa"/>
            <w:vAlign w:val="bottom"/>
            <w:vMerge w:val="restart"/>
            <w:shd w:val="clear" w:color="auto" w:fill="E5E5E5"/>
          </w:tcPr>
          <w:p>
            <w:pPr>
              <w:ind w:left="280"/>
              <w:spacing w:after="0"/>
              <w:rPr>
                <w:sz w:val="20"/>
                <w:szCs w:val="20"/>
                <w:color w:val="auto"/>
              </w:rPr>
            </w:pPr>
            <w:r>
              <w:rPr>
                <w:rFonts w:ascii="Arial" w:cs="Arial" w:eastAsia="Arial" w:hAnsi="Arial"/>
                <w:sz w:val="15"/>
                <w:szCs w:val="15"/>
                <w:color w:val="auto"/>
              </w:rPr>
              <w:t>​</w:t>
            </w:r>
          </w:p>
        </w:tc>
        <w:tc>
          <w:tcPr>
            <w:tcW w:w="820" w:type="dxa"/>
            <w:vAlign w:val="bottom"/>
            <w:shd w:val="clear" w:color="auto" w:fill="E5E5E5"/>
          </w:tcPr>
          <w:p>
            <w:pPr>
              <w:ind w:left="120"/>
              <w:spacing w:after="0"/>
              <w:rPr>
                <w:sz w:val="20"/>
                <w:szCs w:val="20"/>
                <w:color w:val="auto"/>
              </w:rPr>
            </w:pPr>
            <w:r>
              <w:rPr>
                <w:rFonts w:ascii="Arial" w:cs="Arial" w:eastAsia="Arial" w:hAnsi="Arial"/>
                <w:sz w:val="15"/>
                <w:szCs w:val="15"/>
                <w:color w:val="auto"/>
              </w:rPr>
              <w:t>90%</w:t>
            </w:r>
          </w:p>
        </w:tc>
        <w:tc>
          <w:tcPr>
            <w:tcW w:w="1400" w:type="dxa"/>
            <w:vAlign w:val="bottom"/>
            <w:vMerge w:val="restart"/>
            <w:shd w:val="clear" w:color="auto" w:fill="E5E5E5"/>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E5E5E5"/>
          </w:tcPr>
          <w:p>
            <w:pPr>
              <w:jc w:val="right"/>
              <w:ind w:right="188"/>
              <w:spacing w:after="0"/>
              <w:rPr>
                <w:sz w:val="20"/>
                <w:szCs w:val="20"/>
                <w:color w:val="auto"/>
              </w:rPr>
            </w:pPr>
            <w:r>
              <w:rPr>
                <w:rFonts w:ascii="Arial" w:cs="Arial" w:eastAsia="Arial" w:hAnsi="Arial"/>
                <w:sz w:val="15"/>
                <w:szCs w:val="15"/>
                <w:color w:val="auto"/>
              </w:rPr>
              <w:t>100%</w:t>
            </w:r>
          </w:p>
        </w:tc>
        <w:tc>
          <w:tcPr>
            <w:tcW w:w="600" w:type="dxa"/>
            <w:vAlign w:val="bottom"/>
            <w:vMerge w:val="restart"/>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spacing w:after="0"/>
              <w:rPr>
                <w:sz w:val="15"/>
                <w:szCs w:val="15"/>
                <w:color w:val="auto"/>
              </w:rPr>
            </w:pPr>
          </w:p>
        </w:tc>
        <w:tc>
          <w:tcPr>
            <w:tcW w:w="880" w:type="dxa"/>
            <w:vAlign w:val="bottom"/>
            <w:gridSpan w:val="2"/>
            <w:shd w:val="clear" w:color="auto" w:fill="E5E5E5"/>
          </w:tcPr>
          <w:p>
            <w:pPr>
              <w:ind w:left="420"/>
              <w:spacing w:after="0"/>
              <w:rPr>
                <w:sz w:val="20"/>
                <w:szCs w:val="20"/>
                <w:color w:val="auto"/>
              </w:rPr>
            </w:pPr>
            <w:r>
              <w:rPr>
                <w:rFonts w:ascii="Arial" w:cs="Arial" w:eastAsia="Arial" w:hAnsi="Arial"/>
                <w:sz w:val="15"/>
                <w:szCs w:val="15"/>
                <w:color w:val="auto"/>
              </w:rPr>
              <w:t>200%</w:t>
            </w:r>
          </w:p>
        </w:tc>
        <w:tc>
          <w:tcPr>
            <w:tcW w:w="340" w:type="dxa"/>
            <w:vAlign w:val="bottom"/>
            <w:vMerge w:val="restart"/>
            <w:shd w:val="clear" w:color="auto" w:fill="E5E5E5"/>
          </w:tcPr>
          <w:p>
            <w:pPr>
              <w:ind w:lef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20" w:type="dxa"/>
            <w:vAlign w:val="bottom"/>
            <w:vMerge w:val="continue"/>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1400" w:type="dxa"/>
            <w:vAlign w:val="bottom"/>
            <w:vMerge w:val="continue"/>
            <w:shd w:val="clear" w:color="auto" w:fill="E5E5E5"/>
          </w:tcPr>
          <w:p>
            <w:pPr>
              <w:spacing w:after="0"/>
              <w:rPr>
                <w:sz w:val="4"/>
                <w:szCs w:val="4"/>
                <w:color w:val="auto"/>
              </w:rPr>
            </w:pPr>
          </w:p>
        </w:tc>
        <w:tc>
          <w:tcPr>
            <w:tcW w:w="1540" w:type="dxa"/>
            <w:vAlign w:val="bottom"/>
            <w:vMerge w:val="continue"/>
            <w:shd w:val="clear" w:color="auto" w:fill="E5E5E5"/>
          </w:tcPr>
          <w:p>
            <w:pPr>
              <w:spacing w:after="0"/>
              <w:rPr>
                <w:sz w:val="4"/>
                <w:szCs w:val="4"/>
                <w:color w:val="auto"/>
              </w:rPr>
            </w:pPr>
          </w:p>
        </w:tc>
        <w:tc>
          <w:tcPr>
            <w:tcW w:w="900" w:type="dxa"/>
            <w:vAlign w:val="bottom"/>
            <w:shd w:val="clear" w:color="auto" w:fill="E5E5E5"/>
          </w:tcPr>
          <w:p>
            <w:pPr>
              <w:ind w:left="820"/>
              <w:spacing w:after="0" w:line="54" w:lineRule="exact"/>
              <w:rPr>
                <w:sz w:val="20"/>
                <w:szCs w:val="20"/>
                <w:color w:val="auto"/>
              </w:rPr>
            </w:pPr>
            <w:r>
              <w:rPr>
                <w:rFonts w:ascii="Arial" w:cs="Arial" w:eastAsia="Arial" w:hAnsi="Arial"/>
                <w:sz w:val="5"/>
                <w:szCs w:val="5"/>
                <w:color w:val="auto"/>
              </w:rPr>
              <w:t>​</w:t>
            </w:r>
          </w:p>
        </w:tc>
        <w:tc>
          <w:tcPr>
            <w:tcW w:w="560" w:type="dxa"/>
            <w:vAlign w:val="bottom"/>
            <w:shd w:val="clear" w:color="auto" w:fill="E5E5E5"/>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shd w:val="clear" w:color="auto" w:fill="E5E5E5"/>
          </w:tcPr>
          <w:p>
            <w:pPr>
              <w:spacing w:after="0"/>
              <w:rPr>
                <w:sz w:val="4"/>
                <w:szCs w:val="4"/>
                <w:color w:val="auto"/>
              </w:rPr>
            </w:pPr>
          </w:p>
        </w:tc>
        <w:tc>
          <w:tcPr>
            <w:tcW w:w="1240" w:type="dxa"/>
            <w:vAlign w:val="bottom"/>
            <w:vMerge w:val="continue"/>
            <w:shd w:val="clear" w:color="auto" w:fill="E5E5E5"/>
          </w:tcPr>
          <w:p>
            <w:pPr>
              <w:spacing w:after="0"/>
              <w:rPr>
                <w:sz w:val="4"/>
                <w:szCs w:val="4"/>
                <w:color w:val="auto"/>
              </w:rPr>
            </w:pPr>
          </w:p>
        </w:tc>
        <w:tc>
          <w:tcPr>
            <w:tcW w:w="500" w:type="dxa"/>
            <w:vAlign w:val="bottom"/>
            <w:shd w:val="clear" w:color="auto" w:fill="E5E5E5"/>
          </w:tcPr>
          <w:p>
            <w:pPr>
              <w:spacing w:after="0"/>
              <w:rPr>
                <w:sz w:val="4"/>
                <w:szCs w:val="4"/>
                <w:color w:val="auto"/>
              </w:rPr>
            </w:pPr>
          </w:p>
        </w:tc>
        <w:tc>
          <w:tcPr>
            <w:tcW w:w="480" w:type="dxa"/>
            <w:vAlign w:val="bottom"/>
            <w:shd w:val="clear" w:color="auto" w:fill="E5E5E5"/>
          </w:tcPr>
          <w:p>
            <w:pPr>
              <w:ind w:left="420"/>
              <w:spacing w:after="0" w:line="54" w:lineRule="exact"/>
              <w:rPr>
                <w:sz w:val="20"/>
                <w:szCs w:val="20"/>
                <w:color w:val="auto"/>
              </w:rPr>
            </w:pPr>
            <w:r>
              <w:rPr>
                <w:rFonts w:ascii="Arial" w:cs="Arial" w:eastAsia="Arial" w:hAnsi="Arial"/>
                <w:sz w:val="5"/>
                <w:szCs w:val="5"/>
                <w:color w:val="auto"/>
              </w:rPr>
              <w:t>​</w:t>
            </w:r>
          </w:p>
        </w:tc>
        <w:tc>
          <w:tcPr>
            <w:tcW w:w="400" w:type="dxa"/>
            <w:vAlign w:val="bottom"/>
            <w:shd w:val="clear" w:color="auto" w:fill="E5E5E5"/>
          </w:tcPr>
          <w:p>
            <w:pPr>
              <w:jc w:val="right"/>
              <w:ind w:right="115"/>
              <w:spacing w:after="0" w:line="54"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vMerge w:val="restart"/>
          </w:tcPr>
          <w:p>
            <w:pPr>
              <w:ind w:left="280"/>
              <w:spacing w:after="0"/>
              <w:rPr>
                <w:sz w:val="20"/>
                <w:szCs w:val="20"/>
                <w:color w:val="auto"/>
              </w:rPr>
            </w:pPr>
            <w:r>
              <w:rPr>
                <w:rFonts w:ascii="Arial" w:cs="Arial" w:eastAsia="Arial" w:hAnsi="Arial"/>
                <w:sz w:val="15"/>
                <w:szCs w:val="15"/>
                <w:color w:val="auto"/>
              </w:rPr>
              <w:t>​</w:t>
            </w:r>
          </w:p>
        </w:tc>
        <w:tc>
          <w:tcPr>
            <w:tcW w:w="820" w:type="dxa"/>
            <w:vAlign w:val="bottom"/>
          </w:tcPr>
          <w:p>
            <w:pPr>
              <w:ind w:left="120"/>
              <w:spacing w:after="0"/>
              <w:rPr>
                <w:sz w:val="20"/>
                <w:szCs w:val="20"/>
                <w:color w:val="auto"/>
              </w:rPr>
            </w:pPr>
            <w:r>
              <w:rPr>
                <w:rFonts w:ascii="Arial" w:cs="Arial" w:eastAsia="Arial" w:hAnsi="Arial"/>
                <w:sz w:val="15"/>
                <w:szCs w:val="15"/>
                <w:color w:val="auto"/>
              </w:rPr>
              <w:t>80%</w:t>
            </w:r>
          </w:p>
        </w:tc>
        <w:tc>
          <w:tcPr>
            <w:tcW w:w="1400" w:type="dxa"/>
            <w:vAlign w:val="bottom"/>
            <w:vMerge w:val="restart"/>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2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88"/>
              <w:spacing w:after="0"/>
              <w:rPr>
                <w:sz w:val="20"/>
                <w:szCs w:val="20"/>
                <w:color w:val="auto"/>
              </w:rPr>
            </w:pPr>
            <w:r>
              <w:rPr>
                <w:rFonts w:ascii="Arial" w:cs="Arial" w:eastAsia="Arial" w:hAnsi="Arial"/>
                <w:sz w:val="15"/>
                <w:szCs w:val="15"/>
                <w:color w:val="auto"/>
                <w:w w:val="99"/>
              </w:rPr>
              <w:t>90%</w:t>
            </w:r>
          </w:p>
        </w:tc>
        <w:tc>
          <w:tcPr>
            <w:tcW w:w="6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880" w:type="dxa"/>
            <w:vAlign w:val="bottom"/>
            <w:gridSpan w:val="2"/>
          </w:tcPr>
          <w:p>
            <w:pPr>
              <w:ind w:left="420"/>
              <w:spacing w:after="0"/>
              <w:rPr>
                <w:sz w:val="20"/>
                <w:szCs w:val="20"/>
                <w:color w:val="auto"/>
              </w:rPr>
            </w:pPr>
            <w:r>
              <w:rPr>
                <w:rFonts w:ascii="Arial" w:cs="Arial" w:eastAsia="Arial" w:hAnsi="Arial"/>
                <w:sz w:val="15"/>
                <w:szCs w:val="15"/>
                <w:color w:val="auto"/>
              </w:rPr>
              <w:t>175%</w:t>
            </w:r>
          </w:p>
        </w:tc>
        <w:tc>
          <w:tcPr>
            <w:tcW w:w="38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4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60" w:type="dxa"/>
            <w:vAlign w:val="bottom"/>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ind w:left="420"/>
              <w:spacing w:after="0" w:line="54" w:lineRule="exact"/>
              <w:rPr>
                <w:sz w:val="20"/>
                <w:szCs w:val="20"/>
                <w:color w:val="auto"/>
              </w:rPr>
            </w:pPr>
            <w:r>
              <w:rPr>
                <w:rFonts w:ascii="Arial" w:cs="Arial" w:eastAsia="Arial" w:hAnsi="Arial"/>
                <w:sz w:val="5"/>
                <w:szCs w:val="5"/>
                <w:color w:val="auto"/>
              </w:rPr>
              <w:t>​</w:t>
            </w:r>
          </w:p>
        </w:tc>
        <w:tc>
          <w:tcPr>
            <w:tcW w:w="400" w:type="dxa"/>
            <w:vAlign w:val="bottom"/>
          </w:tcPr>
          <w:p>
            <w:pPr>
              <w:jc w:val="right"/>
              <w:ind w:right="115"/>
              <w:spacing w:after="0" w:line="54" w:lineRule="exact"/>
              <w:rPr>
                <w:sz w:val="20"/>
                <w:szCs w:val="20"/>
                <w:color w:val="auto"/>
              </w:rPr>
            </w:pPr>
            <w:r>
              <w:rPr>
                <w:rFonts w:ascii="Arial" w:cs="Arial" w:eastAsia="Arial" w:hAnsi="Arial"/>
                <w:sz w:val="5"/>
                <w:szCs w:val="5"/>
                <w:color w:val="auto"/>
              </w:rPr>
              <w:t>​</w:t>
            </w:r>
          </w:p>
        </w:tc>
        <w:tc>
          <w:tcPr>
            <w:tcW w:w="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vMerge w:val="restart"/>
            <w:shd w:val="clear" w:color="auto" w:fill="E5E5E5"/>
          </w:tcPr>
          <w:p>
            <w:pPr>
              <w:ind w:left="280"/>
              <w:spacing w:after="0"/>
              <w:rPr>
                <w:sz w:val="20"/>
                <w:szCs w:val="20"/>
                <w:color w:val="auto"/>
              </w:rPr>
            </w:pPr>
            <w:r>
              <w:rPr>
                <w:rFonts w:ascii="Arial" w:cs="Arial" w:eastAsia="Arial" w:hAnsi="Arial"/>
                <w:sz w:val="15"/>
                <w:szCs w:val="15"/>
                <w:color w:val="auto"/>
              </w:rPr>
              <w:t>​</w:t>
            </w:r>
          </w:p>
        </w:tc>
        <w:tc>
          <w:tcPr>
            <w:tcW w:w="820" w:type="dxa"/>
            <w:vAlign w:val="bottom"/>
            <w:shd w:val="clear" w:color="auto" w:fill="E5E5E5"/>
          </w:tcPr>
          <w:p>
            <w:pPr>
              <w:ind w:left="120"/>
              <w:spacing w:after="0"/>
              <w:rPr>
                <w:sz w:val="20"/>
                <w:szCs w:val="20"/>
                <w:color w:val="auto"/>
              </w:rPr>
            </w:pPr>
            <w:r>
              <w:rPr>
                <w:rFonts w:ascii="Arial" w:cs="Arial" w:eastAsia="Arial" w:hAnsi="Arial"/>
                <w:sz w:val="15"/>
                <w:szCs w:val="15"/>
                <w:color w:val="auto"/>
              </w:rPr>
              <w:t>70%</w:t>
            </w:r>
          </w:p>
        </w:tc>
        <w:tc>
          <w:tcPr>
            <w:tcW w:w="1400" w:type="dxa"/>
            <w:vAlign w:val="bottom"/>
            <w:vMerge w:val="restart"/>
            <w:shd w:val="clear" w:color="auto" w:fill="E5E5E5"/>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E5E5E5"/>
          </w:tcPr>
          <w:p>
            <w:pPr>
              <w:ind w:left="820"/>
              <w:spacing w:after="0"/>
              <w:rPr>
                <w:sz w:val="20"/>
                <w:szCs w:val="20"/>
                <w:color w:val="auto"/>
              </w:rPr>
            </w:pPr>
            <w:r>
              <w:rPr>
                <w:rFonts w:ascii="Arial" w:cs="Arial" w:eastAsia="Arial" w:hAnsi="Arial"/>
                <w:sz w:val="15"/>
                <w:szCs w:val="15"/>
                <w:color w:val="auto"/>
              </w:rPr>
              <w:t>​</w:t>
            </w:r>
          </w:p>
        </w:tc>
        <w:tc>
          <w:tcPr>
            <w:tcW w:w="560" w:type="dxa"/>
            <w:vAlign w:val="bottom"/>
            <w:shd w:val="clear" w:color="auto" w:fill="E5E5E5"/>
          </w:tcPr>
          <w:p>
            <w:pPr>
              <w:jc w:val="right"/>
              <w:ind w:right="188"/>
              <w:spacing w:after="0"/>
              <w:rPr>
                <w:sz w:val="20"/>
                <w:szCs w:val="20"/>
                <w:color w:val="auto"/>
              </w:rPr>
            </w:pPr>
            <w:r>
              <w:rPr>
                <w:rFonts w:ascii="Arial" w:cs="Arial" w:eastAsia="Arial" w:hAnsi="Arial"/>
                <w:sz w:val="15"/>
                <w:szCs w:val="15"/>
                <w:color w:val="auto"/>
                <w:w w:val="99"/>
              </w:rPr>
              <w:t>80%</w:t>
            </w:r>
          </w:p>
        </w:tc>
        <w:tc>
          <w:tcPr>
            <w:tcW w:w="600" w:type="dxa"/>
            <w:vAlign w:val="bottom"/>
            <w:vMerge w:val="restart"/>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ind w:left="420"/>
              <w:spacing w:after="0"/>
              <w:rPr>
                <w:sz w:val="20"/>
                <w:szCs w:val="20"/>
                <w:color w:val="auto"/>
              </w:rPr>
            </w:pPr>
            <w:r>
              <w:rPr>
                <w:rFonts w:ascii="Arial" w:cs="Arial" w:eastAsia="Arial" w:hAnsi="Arial"/>
                <w:sz w:val="15"/>
                <w:szCs w:val="15"/>
                <w:color w:val="auto"/>
              </w:rPr>
              <w:t>150%</w:t>
            </w:r>
          </w:p>
        </w:tc>
        <w:tc>
          <w:tcPr>
            <w:tcW w:w="340" w:type="dxa"/>
            <w:vAlign w:val="bottom"/>
            <w:vMerge w:val="restart"/>
            <w:shd w:val="clear" w:color="auto" w:fill="E5E5E5"/>
          </w:tcPr>
          <w:p>
            <w:pPr>
              <w:ind w:lef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20" w:type="dxa"/>
            <w:vAlign w:val="bottom"/>
            <w:vMerge w:val="continue"/>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1400" w:type="dxa"/>
            <w:vAlign w:val="bottom"/>
            <w:vMerge w:val="continue"/>
            <w:shd w:val="clear" w:color="auto" w:fill="E5E5E5"/>
          </w:tcPr>
          <w:p>
            <w:pPr>
              <w:spacing w:after="0"/>
              <w:rPr>
                <w:sz w:val="4"/>
                <w:szCs w:val="4"/>
                <w:color w:val="auto"/>
              </w:rPr>
            </w:pPr>
          </w:p>
        </w:tc>
        <w:tc>
          <w:tcPr>
            <w:tcW w:w="1540" w:type="dxa"/>
            <w:vAlign w:val="bottom"/>
            <w:vMerge w:val="continue"/>
            <w:shd w:val="clear" w:color="auto" w:fill="E5E5E5"/>
          </w:tcPr>
          <w:p>
            <w:pPr>
              <w:spacing w:after="0"/>
              <w:rPr>
                <w:sz w:val="4"/>
                <w:szCs w:val="4"/>
                <w:color w:val="auto"/>
              </w:rPr>
            </w:pPr>
          </w:p>
        </w:tc>
        <w:tc>
          <w:tcPr>
            <w:tcW w:w="900" w:type="dxa"/>
            <w:vAlign w:val="bottom"/>
            <w:vMerge w:val="continue"/>
            <w:shd w:val="clear" w:color="auto" w:fill="E5E5E5"/>
          </w:tcPr>
          <w:p>
            <w:pPr>
              <w:spacing w:after="0"/>
              <w:rPr>
                <w:sz w:val="4"/>
                <w:szCs w:val="4"/>
                <w:color w:val="auto"/>
              </w:rPr>
            </w:pPr>
          </w:p>
        </w:tc>
        <w:tc>
          <w:tcPr>
            <w:tcW w:w="560" w:type="dxa"/>
            <w:vAlign w:val="bottom"/>
            <w:shd w:val="clear" w:color="auto" w:fill="E5E5E5"/>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shd w:val="clear" w:color="auto" w:fill="E5E5E5"/>
          </w:tcPr>
          <w:p>
            <w:pPr>
              <w:spacing w:after="0"/>
              <w:rPr>
                <w:sz w:val="4"/>
                <w:szCs w:val="4"/>
                <w:color w:val="auto"/>
              </w:rPr>
            </w:pPr>
          </w:p>
        </w:tc>
        <w:tc>
          <w:tcPr>
            <w:tcW w:w="1240" w:type="dxa"/>
            <w:vAlign w:val="bottom"/>
            <w:vMerge w:val="continue"/>
            <w:shd w:val="clear" w:color="auto" w:fill="E5E5E5"/>
          </w:tcPr>
          <w:p>
            <w:pPr>
              <w:spacing w:after="0"/>
              <w:rPr>
                <w:sz w:val="4"/>
                <w:szCs w:val="4"/>
                <w:color w:val="auto"/>
              </w:rPr>
            </w:pPr>
          </w:p>
        </w:tc>
        <w:tc>
          <w:tcPr>
            <w:tcW w:w="500" w:type="dxa"/>
            <w:vAlign w:val="bottom"/>
            <w:shd w:val="clear" w:color="auto" w:fill="E5E5E5"/>
          </w:tcPr>
          <w:p>
            <w:pPr>
              <w:spacing w:after="0"/>
              <w:rPr>
                <w:sz w:val="4"/>
                <w:szCs w:val="4"/>
                <w:color w:val="auto"/>
              </w:rPr>
            </w:pPr>
          </w:p>
        </w:tc>
        <w:tc>
          <w:tcPr>
            <w:tcW w:w="480" w:type="dxa"/>
            <w:vAlign w:val="bottom"/>
            <w:shd w:val="clear" w:color="auto" w:fill="E5E5E5"/>
          </w:tcPr>
          <w:p>
            <w:pPr>
              <w:ind w:left="420"/>
              <w:spacing w:after="0" w:line="54" w:lineRule="exact"/>
              <w:rPr>
                <w:sz w:val="20"/>
                <w:szCs w:val="20"/>
                <w:color w:val="auto"/>
              </w:rPr>
            </w:pPr>
            <w:r>
              <w:rPr>
                <w:rFonts w:ascii="Arial" w:cs="Arial" w:eastAsia="Arial" w:hAnsi="Arial"/>
                <w:sz w:val="5"/>
                <w:szCs w:val="5"/>
                <w:color w:val="auto"/>
              </w:rPr>
              <w:t>​</w:t>
            </w:r>
          </w:p>
        </w:tc>
        <w:tc>
          <w:tcPr>
            <w:tcW w:w="400" w:type="dxa"/>
            <w:vAlign w:val="bottom"/>
            <w:shd w:val="clear" w:color="auto" w:fill="E5E5E5"/>
          </w:tcPr>
          <w:p>
            <w:pPr>
              <w:jc w:val="right"/>
              <w:ind w:right="115"/>
              <w:spacing w:after="0" w:line="54"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vMerge w:val="restart"/>
          </w:tcPr>
          <w:p>
            <w:pPr>
              <w:ind w:left="280"/>
              <w:spacing w:after="0"/>
              <w:rPr>
                <w:sz w:val="20"/>
                <w:szCs w:val="20"/>
                <w:color w:val="auto"/>
              </w:rPr>
            </w:pPr>
            <w:r>
              <w:rPr>
                <w:rFonts w:ascii="Arial" w:cs="Arial" w:eastAsia="Arial" w:hAnsi="Arial"/>
                <w:sz w:val="15"/>
                <w:szCs w:val="15"/>
                <w:color w:val="auto"/>
              </w:rPr>
              <w:t>​</w:t>
            </w:r>
          </w:p>
        </w:tc>
        <w:tc>
          <w:tcPr>
            <w:tcW w:w="820" w:type="dxa"/>
            <w:vAlign w:val="bottom"/>
          </w:tcPr>
          <w:p>
            <w:pPr>
              <w:ind w:left="120"/>
              <w:spacing w:after="0"/>
              <w:rPr>
                <w:sz w:val="20"/>
                <w:szCs w:val="20"/>
                <w:color w:val="auto"/>
              </w:rPr>
            </w:pPr>
            <w:r>
              <w:rPr>
                <w:rFonts w:ascii="Arial" w:cs="Arial" w:eastAsia="Arial" w:hAnsi="Arial"/>
                <w:sz w:val="15"/>
                <w:szCs w:val="15"/>
                <w:color w:val="auto"/>
              </w:rPr>
              <w:t>60%</w:t>
            </w:r>
          </w:p>
        </w:tc>
        <w:tc>
          <w:tcPr>
            <w:tcW w:w="1400" w:type="dxa"/>
            <w:vAlign w:val="bottom"/>
            <w:vMerge w:val="restart"/>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2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88"/>
              <w:spacing w:after="0"/>
              <w:rPr>
                <w:sz w:val="20"/>
                <w:szCs w:val="20"/>
                <w:color w:val="auto"/>
              </w:rPr>
            </w:pPr>
            <w:r>
              <w:rPr>
                <w:rFonts w:ascii="Arial" w:cs="Arial" w:eastAsia="Arial" w:hAnsi="Arial"/>
                <w:sz w:val="15"/>
                <w:szCs w:val="15"/>
                <w:color w:val="auto"/>
                <w:w w:val="99"/>
              </w:rPr>
              <w:t>70%</w:t>
            </w:r>
          </w:p>
        </w:tc>
        <w:tc>
          <w:tcPr>
            <w:tcW w:w="6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880" w:type="dxa"/>
            <w:vAlign w:val="bottom"/>
            <w:gridSpan w:val="2"/>
          </w:tcPr>
          <w:p>
            <w:pPr>
              <w:ind w:left="420"/>
              <w:spacing w:after="0"/>
              <w:rPr>
                <w:sz w:val="20"/>
                <w:szCs w:val="20"/>
                <w:color w:val="auto"/>
              </w:rPr>
            </w:pPr>
            <w:r>
              <w:rPr>
                <w:rFonts w:ascii="Arial" w:cs="Arial" w:eastAsia="Arial" w:hAnsi="Arial"/>
                <w:sz w:val="15"/>
                <w:szCs w:val="15"/>
                <w:color w:val="auto"/>
              </w:rPr>
              <w:t>125%</w:t>
            </w:r>
          </w:p>
        </w:tc>
        <w:tc>
          <w:tcPr>
            <w:tcW w:w="38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4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60" w:type="dxa"/>
            <w:vAlign w:val="bottom"/>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ind w:left="420"/>
              <w:spacing w:after="0" w:line="54" w:lineRule="exact"/>
              <w:rPr>
                <w:sz w:val="20"/>
                <w:szCs w:val="20"/>
                <w:color w:val="auto"/>
              </w:rPr>
            </w:pPr>
            <w:r>
              <w:rPr>
                <w:rFonts w:ascii="Arial" w:cs="Arial" w:eastAsia="Arial" w:hAnsi="Arial"/>
                <w:sz w:val="5"/>
                <w:szCs w:val="5"/>
                <w:color w:val="auto"/>
              </w:rPr>
              <w:t>​</w:t>
            </w:r>
          </w:p>
        </w:tc>
        <w:tc>
          <w:tcPr>
            <w:tcW w:w="400" w:type="dxa"/>
            <w:vAlign w:val="bottom"/>
          </w:tcPr>
          <w:p>
            <w:pPr>
              <w:jc w:val="right"/>
              <w:ind w:right="115"/>
              <w:spacing w:after="0" w:line="54" w:lineRule="exact"/>
              <w:rPr>
                <w:sz w:val="20"/>
                <w:szCs w:val="20"/>
                <w:color w:val="auto"/>
              </w:rPr>
            </w:pPr>
            <w:r>
              <w:rPr>
                <w:rFonts w:ascii="Arial" w:cs="Arial" w:eastAsia="Arial" w:hAnsi="Arial"/>
                <w:sz w:val="5"/>
                <w:szCs w:val="5"/>
                <w:color w:val="auto"/>
              </w:rPr>
              <w:t>​</w:t>
            </w:r>
          </w:p>
        </w:tc>
        <w:tc>
          <w:tcPr>
            <w:tcW w:w="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vMerge w:val="restart"/>
            <w:shd w:val="clear" w:color="auto" w:fill="E5E5E5"/>
          </w:tcPr>
          <w:p>
            <w:pPr>
              <w:ind w:left="280"/>
              <w:spacing w:after="0"/>
              <w:rPr>
                <w:sz w:val="20"/>
                <w:szCs w:val="20"/>
                <w:color w:val="auto"/>
              </w:rPr>
            </w:pPr>
            <w:r>
              <w:rPr>
                <w:rFonts w:ascii="Arial" w:cs="Arial" w:eastAsia="Arial" w:hAnsi="Arial"/>
                <w:sz w:val="15"/>
                <w:szCs w:val="15"/>
                <w:color w:val="auto"/>
              </w:rPr>
              <w:t>​</w:t>
            </w:r>
          </w:p>
        </w:tc>
        <w:tc>
          <w:tcPr>
            <w:tcW w:w="820" w:type="dxa"/>
            <w:vAlign w:val="bottom"/>
            <w:shd w:val="clear" w:color="auto" w:fill="E5E5E5"/>
          </w:tcPr>
          <w:p>
            <w:pPr>
              <w:ind w:left="120"/>
              <w:spacing w:after="0"/>
              <w:rPr>
                <w:sz w:val="20"/>
                <w:szCs w:val="20"/>
                <w:color w:val="auto"/>
              </w:rPr>
            </w:pPr>
            <w:r>
              <w:rPr>
                <w:rFonts w:ascii="Arial" w:cs="Arial" w:eastAsia="Arial" w:hAnsi="Arial"/>
                <w:sz w:val="15"/>
                <w:szCs w:val="15"/>
                <w:color w:val="auto"/>
              </w:rPr>
              <w:t>50%</w:t>
            </w:r>
          </w:p>
        </w:tc>
        <w:tc>
          <w:tcPr>
            <w:tcW w:w="1400" w:type="dxa"/>
            <w:vAlign w:val="bottom"/>
            <w:vMerge w:val="restart"/>
            <w:shd w:val="clear" w:color="auto" w:fill="E5E5E5"/>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E5E5E5"/>
          </w:tcPr>
          <w:p>
            <w:pPr>
              <w:ind w:left="820"/>
              <w:spacing w:after="0"/>
              <w:rPr>
                <w:sz w:val="20"/>
                <w:szCs w:val="20"/>
                <w:color w:val="auto"/>
              </w:rPr>
            </w:pPr>
            <w:r>
              <w:rPr>
                <w:rFonts w:ascii="Arial" w:cs="Arial" w:eastAsia="Arial" w:hAnsi="Arial"/>
                <w:sz w:val="15"/>
                <w:szCs w:val="15"/>
                <w:color w:val="auto"/>
              </w:rPr>
              <w:t>​</w:t>
            </w:r>
          </w:p>
        </w:tc>
        <w:tc>
          <w:tcPr>
            <w:tcW w:w="560" w:type="dxa"/>
            <w:vAlign w:val="bottom"/>
            <w:shd w:val="clear" w:color="auto" w:fill="E5E5E5"/>
          </w:tcPr>
          <w:p>
            <w:pPr>
              <w:jc w:val="right"/>
              <w:ind w:right="188"/>
              <w:spacing w:after="0"/>
              <w:rPr>
                <w:sz w:val="20"/>
                <w:szCs w:val="20"/>
                <w:color w:val="auto"/>
              </w:rPr>
            </w:pPr>
            <w:r>
              <w:rPr>
                <w:rFonts w:ascii="Arial" w:cs="Arial" w:eastAsia="Arial" w:hAnsi="Arial"/>
                <w:sz w:val="15"/>
                <w:szCs w:val="15"/>
                <w:color w:val="auto"/>
                <w:w w:val="99"/>
              </w:rPr>
              <w:t>60%</w:t>
            </w:r>
          </w:p>
        </w:tc>
        <w:tc>
          <w:tcPr>
            <w:tcW w:w="600" w:type="dxa"/>
            <w:vAlign w:val="bottom"/>
            <w:vMerge w:val="restart"/>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ind w:left="420"/>
              <w:spacing w:after="0"/>
              <w:rPr>
                <w:sz w:val="20"/>
                <w:szCs w:val="20"/>
                <w:color w:val="auto"/>
              </w:rPr>
            </w:pPr>
            <w:r>
              <w:rPr>
                <w:rFonts w:ascii="Arial" w:cs="Arial" w:eastAsia="Arial" w:hAnsi="Arial"/>
                <w:sz w:val="15"/>
                <w:szCs w:val="15"/>
                <w:color w:val="auto"/>
              </w:rPr>
              <w:t>100%</w:t>
            </w:r>
          </w:p>
        </w:tc>
        <w:tc>
          <w:tcPr>
            <w:tcW w:w="340" w:type="dxa"/>
            <w:vAlign w:val="bottom"/>
            <w:vMerge w:val="restart"/>
            <w:shd w:val="clear" w:color="auto" w:fill="E5E5E5"/>
          </w:tcPr>
          <w:p>
            <w:pPr>
              <w:ind w:lef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20" w:type="dxa"/>
            <w:vAlign w:val="bottom"/>
            <w:vMerge w:val="continue"/>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1400" w:type="dxa"/>
            <w:vAlign w:val="bottom"/>
            <w:vMerge w:val="continue"/>
            <w:shd w:val="clear" w:color="auto" w:fill="E5E5E5"/>
          </w:tcPr>
          <w:p>
            <w:pPr>
              <w:spacing w:after="0"/>
              <w:rPr>
                <w:sz w:val="4"/>
                <w:szCs w:val="4"/>
                <w:color w:val="auto"/>
              </w:rPr>
            </w:pPr>
          </w:p>
        </w:tc>
        <w:tc>
          <w:tcPr>
            <w:tcW w:w="1540" w:type="dxa"/>
            <w:vAlign w:val="bottom"/>
            <w:vMerge w:val="continue"/>
            <w:shd w:val="clear" w:color="auto" w:fill="E5E5E5"/>
          </w:tcPr>
          <w:p>
            <w:pPr>
              <w:spacing w:after="0"/>
              <w:rPr>
                <w:sz w:val="4"/>
                <w:szCs w:val="4"/>
                <w:color w:val="auto"/>
              </w:rPr>
            </w:pPr>
          </w:p>
        </w:tc>
        <w:tc>
          <w:tcPr>
            <w:tcW w:w="900" w:type="dxa"/>
            <w:vAlign w:val="bottom"/>
            <w:vMerge w:val="continue"/>
            <w:shd w:val="clear" w:color="auto" w:fill="E5E5E5"/>
          </w:tcPr>
          <w:p>
            <w:pPr>
              <w:spacing w:after="0"/>
              <w:rPr>
                <w:sz w:val="4"/>
                <w:szCs w:val="4"/>
                <w:color w:val="auto"/>
              </w:rPr>
            </w:pPr>
          </w:p>
        </w:tc>
        <w:tc>
          <w:tcPr>
            <w:tcW w:w="560" w:type="dxa"/>
            <w:vAlign w:val="bottom"/>
            <w:shd w:val="clear" w:color="auto" w:fill="E5E5E5"/>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shd w:val="clear" w:color="auto" w:fill="E5E5E5"/>
          </w:tcPr>
          <w:p>
            <w:pPr>
              <w:spacing w:after="0"/>
              <w:rPr>
                <w:sz w:val="4"/>
                <w:szCs w:val="4"/>
                <w:color w:val="auto"/>
              </w:rPr>
            </w:pPr>
          </w:p>
        </w:tc>
        <w:tc>
          <w:tcPr>
            <w:tcW w:w="1240" w:type="dxa"/>
            <w:vAlign w:val="bottom"/>
            <w:vMerge w:val="continue"/>
            <w:shd w:val="clear" w:color="auto" w:fill="E5E5E5"/>
          </w:tcPr>
          <w:p>
            <w:pPr>
              <w:spacing w:after="0"/>
              <w:rPr>
                <w:sz w:val="4"/>
                <w:szCs w:val="4"/>
                <w:color w:val="auto"/>
              </w:rPr>
            </w:pPr>
          </w:p>
        </w:tc>
        <w:tc>
          <w:tcPr>
            <w:tcW w:w="500" w:type="dxa"/>
            <w:vAlign w:val="bottom"/>
            <w:shd w:val="clear" w:color="auto" w:fill="E5E5E5"/>
          </w:tcPr>
          <w:p>
            <w:pPr>
              <w:spacing w:after="0"/>
              <w:rPr>
                <w:sz w:val="4"/>
                <w:szCs w:val="4"/>
                <w:color w:val="auto"/>
              </w:rPr>
            </w:pPr>
          </w:p>
        </w:tc>
        <w:tc>
          <w:tcPr>
            <w:tcW w:w="480" w:type="dxa"/>
            <w:vAlign w:val="bottom"/>
            <w:shd w:val="clear" w:color="auto" w:fill="E5E5E5"/>
          </w:tcPr>
          <w:p>
            <w:pPr>
              <w:ind w:left="420"/>
              <w:spacing w:after="0" w:line="54" w:lineRule="exact"/>
              <w:rPr>
                <w:sz w:val="20"/>
                <w:szCs w:val="20"/>
                <w:color w:val="auto"/>
              </w:rPr>
            </w:pPr>
            <w:r>
              <w:rPr>
                <w:rFonts w:ascii="Arial" w:cs="Arial" w:eastAsia="Arial" w:hAnsi="Arial"/>
                <w:sz w:val="5"/>
                <w:szCs w:val="5"/>
                <w:color w:val="auto"/>
              </w:rPr>
              <w:t>​</w:t>
            </w:r>
          </w:p>
        </w:tc>
        <w:tc>
          <w:tcPr>
            <w:tcW w:w="400" w:type="dxa"/>
            <w:vAlign w:val="bottom"/>
            <w:shd w:val="clear" w:color="auto" w:fill="E5E5E5"/>
          </w:tcPr>
          <w:p>
            <w:pPr>
              <w:jc w:val="right"/>
              <w:ind w:right="115"/>
              <w:spacing w:after="0" w:line="54"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vMerge w:val="restart"/>
          </w:tcPr>
          <w:p>
            <w:pPr>
              <w:ind w:left="280"/>
              <w:spacing w:after="0"/>
              <w:rPr>
                <w:sz w:val="20"/>
                <w:szCs w:val="20"/>
                <w:color w:val="auto"/>
              </w:rPr>
            </w:pPr>
            <w:r>
              <w:rPr>
                <w:rFonts w:ascii="Arial" w:cs="Arial" w:eastAsia="Arial" w:hAnsi="Arial"/>
                <w:sz w:val="15"/>
                <w:szCs w:val="15"/>
                <w:color w:val="auto"/>
              </w:rPr>
              <w:t>​</w:t>
            </w:r>
          </w:p>
        </w:tc>
        <w:tc>
          <w:tcPr>
            <w:tcW w:w="820" w:type="dxa"/>
            <w:vAlign w:val="bottom"/>
          </w:tcPr>
          <w:p>
            <w:pPr>
              <w:ind w:left="120"/>
              <w:spacing w:after="0"/>
              <w:rPr>
                <w:sz w:val="20"/>
                <w:szCs w:val="20"/>
                <w:color w:val="auto"/>
              </w:rPr>
            </w:pPr>
            <w:r>
              <w:rPr>
                <w:rFonts w:ascii="Arial" w:cs="Arial" w:eastAsia="Arial" w:hAnsi="Arial"/>
                <w:sz w:val="15"/>
                <w:szCs w:val="15"/>
                <w:color w:val="auto"/>
              </w:rPr>
              <w:t>40%</w:t>
            </w:r>
          </w:p>
        </w:tc>
        <w:tc>
          <w:tcPr>
            <w:tcW w:w="1400" w:type="dxa"/>
            <w:vAlign w:val="bottom"/>
            <w:vMerge w:val="restart"/>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2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88"/>
              <w:spacing w:after="0"/>
              <w:rPr>
                <w:sz w:val="20"/>
                <w:szCs w:val="20"/>
                <w:color w:val="auto"/>
              </w:rPr>
            </w:pPr>
            <w:r>
              <w:rPr>
                <w:rFonts w:ascii="Arial" w:cs="Arial" w:eastAsia="Arial" w:hAnsi="Arial"/>
                <w:sz w:val="15"/>
                <w:szCs w:val="15"/>
                <w:color w:val="auto"/>
                <w:w w:val="99"/>
              </w:rPr>
              <w:t>50%</w:t>
            </w:r>
          </w:p>
        </w:tc>
        <w:tc>
          <w:tcPr>
            <w:tcW w:w="6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480" w:type="dxa"/>
            <w:vAlign w:val="bottom"/>
            <w:vMerge w:val="restart"/>
          </w:tcPr>
          <w:p>
            <w:pPr>
              <w:ind w:left="42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15"/>
              <w:spacing w:after="0"/>
              <w:rPr>
                <w:sz w:val="20"/>
                <w:szCs w:val="20"/>
                <w:color w:val="auto"/>
              </w:rPr>
            </w:pPr>
            <w:r>
              <w:rPr>
                <w:rFonts w:ascii="Arial" w:cs="Arial" w:eastAsia="Arial" w:hAnsi="Arial"/>
                <w:sz w:val="15"/>
                <w:szCs w:val="15"/>
                <w:color w:val="auto"/>
              </w:rPr>
              <w:t>75%</w:t>
            </w:r>
          </w:p>
        </w:tc>
        <w:tc>
          <w:tcPr>
            <w:tcW w:w="38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4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60" w:type="dxa"/>
            <w:vAlign w:val="bottom"/>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400" w:type="dxa"/>
            <w:vAlign w:val="bottom"/>
          </w:tcPr>
          <w:p>
            <w:pPr>
              <w:jc w:val="right"/>
              <w:ind w:right="115"/>
              <w:spacing w:after="0" w:line="54" w:lineRule="exact"/>
              <w:rPr>
                <w:sz w:val="20"/>
                <w:szCs w:val="20"/>
                <w:color w:val="auto"/>
              </w:rPr>
            </w:pPr>
            <w:r>
              <w:rPr>
                <w:rFonts w:ascii="Arial" w:cs="Arial" w:eastAsia="Arial" w:hAnsi="Arial"/>
                <w:sz w:val="5"/>
                <w:szCs w:val="5"/>
                <w:color w:val="auto"/>
              </w:rPr>
              <w:t>​</w:t>
            </w:r>
          </w:p>
        </w:tc>
        <w:tc>
          <w:tcPr>
            <w:tcW w:w="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shd w:val="clear" w:color="auto" w:fill="E5E5E5"/>
          </w:tcPr>
          <w:p>
            <w:pPr>
              <w:ind w:left="280"/>
              <w:spacing w:after="0"/>
              <w:rPr>
                <w:sz w:val="20"/>
                <w:szCs w:val="20"/>
                <w:color w:val="auto"/>
              </w:rPr>
            </w:pPr>
            <w:r>
              <w:rPr>
                <w:rFonts w:ascii="Arial" w:cs="Arial" w:eastAsia="Arial" w:hAnsi="Arial"/>
                <w:sz w:val="15"/>
                <w:szCs w:val="15"/>
                <w:color w:val="auto"/>
              </w:rPr>
              <w:t>​</w:t>
            </w:r>
          </w:p>
        </w:tc>
        <w:tc>
          <w:tcPr>
            <w:tcW w:w="820" w:type="dxa"/>
            <w:vAlign w:val="bottom"/>
            <w:shd w:val="clear" w:color="auto" w:fill="E5E5E5"/>
          </w:tcPr>
          <w:p>
            <w:pPr>
              <w:ind w:left="120"/>
              <w:spacing w:after="0"/>
              <w:rPr>
                <w:sz w:val="20"/>
                <w:szCs w:val="20"/>
                <w:color w:val="auto"/>
              </w:rPr>
            </w:pPr>
            <w:r>
              <w:rPr>
                <w:rFonts w:ascii="Arial" w:cs="Arial" w:eastAsia="Arial" w:hAnsi="Arial"/>
                <w:sz w:val="15"/>
                <w:szCs w:val="15"/>
                <w:color w:val="auto"/>
              </w:rPr>
              <w:t>30%</w:t>
            </w:r>
          </w:p>
        </w:tc>
        <w:tc>
          <w:tcPr>
            <w:tcW w:w="1400" w:type="dxa"/>
            <w:vAlign w:val="bottom"/>
            <w:vMerge w:val="restart"/>
            <w:shd w:val="clear" w:color="auto" w:fill="E5E5E5"/>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E5E5E5"/>
          </w:tcPr>
          <w:p>
            <w:pPr>
              <w:ind w:left="820"/>
              <w:spacing w:after="0"/>
              <w:rPr>
                <w:sz w:val="20"/>
                <w:szCs w:val="20"/>
                <w:color w:val="auto"/>
              </w:rPr>
            </w:pPr>
            <w:r>
              <w:rPr>
                <w:rFonts w:ascii="Arial" w:cs="Arial" w:eastAsia="Arial" w:hAnsi="Arial"/>
                <w:sz w:val="15"/>
                <w:szCs w:val="15"/>
                <w:color w:val="auto"/>
              </w:rPr>
              <w:t>​</w:t>
            </w:r>
          </w:p>
        </w:tc>
        <w:tc>
          <w:tcPr>
            <w:tcW w:w="560" w:type="dxa"/>
            <w:vAlign w:val="bottom"/>
            <w:shd w:val="clear" w:color="auto" w:fill="E5E5E5"/>
          </w:tcPr>
          <w:p>
            <w:pPr>
              <w:jc w:val="right"/>
              <w:ind w:right="188"/>
              <w:spacing w:after="0"/>
              <w:rPr>
                <w:sz w:val="20"/>
                <w:szCs w:val="20"/>
                <w:color w:val="auto"/>
              </w:rPr>
            </w:pPr>
            <w:r>
              <w:rPr>
                <w:rFonts w:ascii="Arial" w:cs="Arial" w:eastAsia="Arial" w:hAnsi="Arial"/>
                <w:sz w:val="15"/>
                <w:szCs w:val="15"/>
                <w:color w:val="auto"/>
                <w:w w:val="99"/>
              </w:rPr>
              <w:t>40%</w:t>
            </w:r>
          </w:p>
        </w:tc>
        <w:tc>
          <w:tcPr>
            <w:tcW w:w="600" w:type="dxa"/>
            <w:vAlign w:val="bottom"/>
            <w:vMerge w:val="restart"/>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spacing w:after="0"/>
              <w:rPr>
                <w:sz w:val="17"/>
                <w:szCs w:val="17"/>
                <w:color w:val="auto"/>
              </w:rPr>
            </w:pPr>
          </w:p>
        </w:tc>
        <w:tc>
          <w:tcPr>
            <w:tcW w:w="480" w:type="dxa"/>
            <w:vAlign w:val="bottom"/>
            <w:vMerge w:val="restart"/>
            <w:shd w:val="clear" w:color="auto" w:fill="E5E5E5"/>
          </w:tcPr>
          <w:p>
            <w:pPr>
              <w:ind w:left="420"/>
              <w:spacing w:after="0"/>
              <w:rPr>
                <w:sz w:val="20"/>
                <w:szCs w:val="20"/>
                <w:color w:val="auto"/>
              </w:rPr>
            </w:pPr>
            <w:r>
              <w:rPr>
                <w:rFonts w:ascii="Arial" w:cs="Arial" w:eastAsia="Arial" w:hAnsi="Arial"/>
                <w:sz w:val="15"/>
                <w:szCs w:val="15"/>
                <w:color w:val="auto"/>
              </w:rPr>
              <w:t>​</w:t>
            </w:r>
          </w:p>
        </w:tc>
        <w:tc>
          <w:tcPr>
            <w:tcW w:w="400" w:type="dxa"/>
            <w:vAlign w:val="bottom"/>
            <w:shd w:val="clear" w:color="auto" w:fill="E5E5E5"/>
          </w:tcPr>
          <w:p>
            <w:pPr>
              <w:jc w:val="right"/>
              <w:ind w:right="15"/>
              <w:spacing w:after="0"/>
              <w:rPr>
                <w:sz w:val="20"/>
                <w:szCs w:val="20"/>
                <w:color w:val="auto"/>
              </w:rPr>
            </w:pPr>
            <w:r>
              <w:rPr>
                <w:rFonts w:ascii="Arial" w:cs="Arial" w:eastAsia="Arial" w:hAnsi="Arial"/>
                <w:sz w:val="15"/>
                <w:szCs w:val="15"/>
                <w:color w:val="auto"/>
              </w:rPr>
              <w:t>50%</w:t>
            </w:r>
          </w:p>
        </w:tc>
        <w:tc>
          <w:tcPr>
            <w:tcW w:w="340" w:type="dxa"/>
            <w:vAlign w:val="bottom"/>
            <w:vMerge w:val="restart"/>
            <w:shd w:val="clear" w:color="auto" w:fill="E5E5E5"/>
          </w:tcPr>
          <w:p>
            <w:pPr>
              <w:ind w:lef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0" w:type="dxa"/>
            <w:vAlign w:val="bottom"/>
            <w:vMerge w:val="continue"/>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1400" w:type="dxa"/>
            <w:vAlign w:val="bottom"/>
            <w:vMerge w:val="continue"/>
            <w:shd w:val="clear" w:color="auto" w:fill="E5E5E5"/>
          </w:tcPr>
          <w:p>
            <w:pPr>
              <w:spacing w:after="0"/>
              <w:rPr>
                <w:sz w:val="4"/>
                <w:szCs w:val="4"/>
                <w:color w:val="auto"/>
              </w:rPr>
            </w:pPr>
          </w:p>
        </w:tc>
        <w:tc>
          <w:tcPr>
            <w:tcW w:w="1540" w:type="dxa"/>
            <w:vAlign w:val="bottom"/>
            <w:vMerge w:val="continue"/>
            <w:shd w:val="clear" w:color="auto" w:fill="E5E5E5"/>
          </w:tcPr>
          <w:p>
            <w:pPr>
              <w:spacing w:after="0"/>
              <w:rPr>
                <w:sz w:val="4"/>
                <w:szCs w:val="4"/>
                <w:color w:val="auto"/>
              </w:rPr>
            </w:pPr>
          </w:p>
        </w:tc>
        <w:tc>
          <w:tcPr>
            <w:tcW w:w="900" w:type="dxa"/>
            <w:vAlign w:val="bottom"/>
            <w:vMerge w:val="continue"/>
            <w:shd w:val="clear" w:color="auto" w:fill="E5E5E5"/>
          </w:tcPr>
          <w:p>
            <w:pPr>
              <w:spacing w:after="0"/>
              <w:rPr>
                <w:sz w:val="4"/>
                <w:szCs w:val="4"/>
                <w:color w:val="auto"/>
              </w:rPr>
            </w:pPr>
          </w:p>
        </w:tc>
        <w:tc>
          <w:tcPr>
            <w:tcW w:w="560" w:type="dxa"/>
            <w:vAlign w:val="bottom"/>
            <w:shd w:val="clear" w:color="auto" w:fill="E5E5E5"/>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shd w:val="clear" w:color="auto" w:fill="E5E5E5"/>
          </w:tcPr>
          <w:p>
            <w:pPr>
              <w:spacing w:after="0"/>
              <w:rPr>
                <w:sz w:val="4"/>
                <w:szCs w:val="4"/>
                <w:color w:val="auto"/>
              </w:rPr>
            </w:pPr>
          </w:p>
        </w:tc>
        <w:tc>
          <w:tcPr>
            <w:tcW w:w="1240" w:type="dxa"/>
            <w:vAlign w:val="bottom"/>
            <w:vMerge w:val="continue"/>
            <w:shd w:val="clear" w:color="auto" w:fill="E5E5E5"/>
          </w:tcPr>
          <w:p>
            <w:pPr>
              <w:spacing w:after="0"/>
              <w:rPr>
                <w:sz w:val="4"/>
                <w:szCs w:val="4"/>
                <w:color w:val="auto"/>
              </w:rPr>
            </w:pPr>
          </w:p>
        </w:tc>
        <w:tc>
          <w:tcPr>
            <w:tcW w:w="500" w:type="dxa"/>
            <w:vAlign w:val="bottom"/>
            <w:shd w:val="clear" w:color="auto" w:fill="E5E5E5"/>
          </w:tcPr>
          <w:p>
            <w:pPr>
              <w:spacing w:after="0"/>
              <w:rPr>
                <w:sz w:val="4"/>
                <w:szCs w:val="4"/>
                <w:color w:val="auto"/>
              </w:rPr>
            </w:pPr>
          </w:p>
        </w:tc>
        <w:tc>
          <w:tcPr>
            <w:tcW w:w="480" w:type="dxa"/>
            <w:vAlign w:val="bottom"/>
            <w:vMerge w:val="continue"/>
            <w:shd w:val="clear" w:color="auto" w:fill="E5E5E5"/>
          </w:tcPr>
          <w:p>
            <w:pPr>
              <w:spacing w:after="0"/>
              <w:rPr>
                <w:sz w:val="4"/>
                <w:szCs w:val="4"/>
                <w:color w:val="auto"/>
              </w:rPr>
            </w:pPr>
          </w:p>
        </w:tc>
        <w:tc>
          <w:tcPr>
            <w:tcW w:w="400" w:type="dxa"/>
            <w:vAlign w:val="bottom"/>
            <w:shd w:val="clear" w:color="auto" w:fill="E5E5E5"/>
          </w:tcPr>
          <w:p>
            <w:pPr>
              <w:jc w:val="right"/>
              <w:ind w:right="115"/>
              <w:spacing w:after="0" w:line="54"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ind w:left="280"/>
              <w:spacing w:after="0"/>
              <w:rPr>
                <w:sz w:val="20"/>
                <w:szCs w:val="20"/>
                <w:color w:val="auto"/>
              </w:rPr>
            </w:pPr>
            <w:r>
              <w:rPr>
                <w:rFonts w:ascii="Arial" w:cs="Arial" w:eastAsia="Arial" w:hAnsi="Arial"/>
                <w:sz w:val="15"/>
                <w:szCs w:val="15"/>
                <w:color w:val="auto"/>
              </w:rPr>
              <w:t>​</w:t>
            </w:r>
          </w:p>
        </w:tc>
        <w:tc>
          <w:tcPr>
            <w:tcW w:w="820" w:type="dxa"/>
            <w:vAlign w:val="bottom"/>
          </w:tcPr>
          <w:p>
            <w:pPr>
              <w:ind w:left="120"/>
              <w:spacing w:after="0"/>
              <w:rPr>
                <w:sz w:val="20"/>
                <w:szCs w:val="20"/>
                <w:color w:val="auto"/>
              </w:rPr>
            </w:pPr>
            <w:r>
              <w:rPr>
                <w:rFonts w:ascii="Arial" w:cs="Arial" w:eastAsia="Arial" w:hAnsi="Arial"/>
                <w:sz w:val="15"/>
                <w:szCs w:val="15"/>
                <w:color w:val="auto"/>
              </w:rPr>
              <w:t>25%</w:t>
            </w:r>
          </w:p>
        </w:tc>
        <w:tc>
          <w:tcPr>
            <w:tcW w:w="1400" w:type="dxa"/>
            <w:vAlign w:val="bottom"/>
            <w:vMerge w:val="restart"/>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2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88"/>
              <w:spacing w:after="0"/>
              <w:rPr>
                <w:sz w:val="20"/>
                <w:szCs w:val="20"/>
                <w:color w:val="auto"/>
              </w:rPr>
            </w:pPr>
            <w:r>
              <w:rPr>
                <w:rFonts w:ascii="Arial" w:cs="Arial" w:eastAsia="Arial" w:hAnsi="Arial"/>
                <w:sz w:val="15"/>
                <w:szCs w:val="15"/>
                <w:color w:val="auto"/>
                <w:w w:val="99"/>
              </w:rPr>
              <w:t>30%</w:t>
            </w:r>
          </w:p>
        </w:tc>
        <w:tc>
          <w:tcPr>
            <w:tcW w:w="6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ind w:left="92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480" w:type="dxa"/>
            <w:vAlign w:val="bottom"/>
            <w:vMerge w:val="restart"/>
          </w:tcPr>
          <w:p>
            <w:pPr>
              <w:ind w:left="42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15"/>
              <w:spacing w:after="0"/>
              <w:rPr>
                <w:sz w:val="20"/>
                <w:szCs w:val="20"/>
                <w:color w:val="auto"/>
              </w:rPr>
            </w:pPr>
            <w:r>
              <w:rPr>
                <w:rFonts w:ascii="Arial" w:cs="Arial" w:eastAsia="Arial" w:hAnsi="Arial"/>
                <w:sz w:val="15"/>
                <w:szCs w:val="15"/>
                <w:color w:val="auto"/>
              </w:rPr>
              <w:t>25%</w:t>
            </w:r>
          </w:p>
        </w:tc>
        <w:tc>
          <w:tcPr>
            <w:tcW w:w="38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4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60" w:type="dxa"/>
            <w:vAlign w:val="bottom"/>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400" w:type="dxa"/>
            <w:vAlign w:val="bottom"/>
          </w:tcPr>
          <w:p>
            <w:pPr>
              <w:jc w:val="right"/>
              <w:ind w:right="115"/>
              <w:spacing w:after="0" w:line="54" w:lineRule="exact"/>
              <w:rPr>
                <w:sz w:val="20"/>
                <w:szCs w:val="20"/>
                <w:color w:val="auto"/>
              </w:rPr>
            </w:pPr>
            <w:r>
              <w:rPr>
                <w:rFonts w:ascii="Arial" w:cs="Arial" w:eastAsia="Arial" w:hAnsi="Arial"/>
                <w:sz w:val="5"/>
                <w:szCs w:val="5"/>
                <w:color w:val="auto"/>
              </w:rPr>
              <w:t>​</w:t>
            </w:r>
          </w:p>
        </w:tc>
        <w:tc>
          <w:tcPr>
            <w:tcW w:w="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20" w:type="dxa"/>
            <w:vAlign w:val="bottom"/>
            <w:vMerge w:val="restart"/>
            <w:shd w:val="clear" w:color="auto" w:fill="E5E5E5"/>
          </w:tcPr>
          <w:p>
            <w:pPr>
              <w:ind w:left="280"/>
              <w:spacing w:after="0"/>
              <w:rPr>
                <w:sz w:val="20"/>
                <w:szCs w:val="20"/>
                <w:color w:val="auto"/>
              </w:rPr>
            </w:pPr>
            <w:r>
              <w:rPr>
                <w:rFonts w:ascii="Arial" w:cs="Arial" w:eastAsia="Arial" w:hAnsi="Arial"/>
                <w:sz w:val="15"/>
                <w:szCs w:val="15"/>
                <w:color w:val="auto"/>
              </w:rPr>
              <w:t>​</w:t>
            </w:r>
          </w:p>
        </w:tc>
        <w:tc>
          <w:tcPr>
            <w:tcW w:w="820" w:type="dxa"/>
            <w:vAlign w:val="bottom"/>
            <w:shd w:val="clear" w:color="auto" w:fill="E5E5E5"/>
          </w:tcPr>
          <w:p>
            <w:pPr>
              <w:ind w:left="120"/>
              <w:spacing w:after="0"/>
              <w:rPr>
                <w:sz w:val="20"/>
                <w:szCs w:val="20"/>
                <w:color w:val="auto"/>
              </w:rPr>
            </w:pPr>
            <w:r>
              <w:rPr>
                <w:rFonts w:ascii="Arial" w:cs="Arial" w:eastAsia="Arial" w:hAnsi="Arial"/>
                <w:sz w:val="15"/>
                <w:szCs w:val="15"/>
                <w:color w:val="auto"/>
              </w:rPr>
              <w:t>  0%</w:t>
            </w:r>
          </w:p>
        </w:tc>
        <w:tc>
          <w:tcPr>
            <w:tcW w:w="1400" w:type="dxa"/>
            <w:vAlign w:val="bottom"/>
            <w:vMerge w:val="restart"/>
            <w:shd w:val="clear" w:color="auto" w:fill="E5E5E5"/>
          </w:tcPr>
          <w:p>
            <w:pPr>
              <w:ind w:left="1060"/>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E5E5E5"/>
          </w:tcPr>
          <w:p>
            <w:pPr>
              <w:ind w:left="820"/>
              <w:spacing w:after="0"/>
              <w:rPr>
                <w:sz w:val="20"/>
                <w:szCs w:val="20"/>
                <w:color w:val="auto"/>
              </w:rPr>
            </w:pPr>
            <w:r>
              <w:rPr>
                <w:rFonts w:ascii="Arial" w:cs="Arial" w:eastAsia="Arial" w:hAnsi="Arial"/>
                <w:sz w:val="15"/>
                <w:szCs w:val="15"/>
                <w:color w:val="auto"/>
              </w:rPr>
              <w:t>​</w:t>
            </w:r>
          </w:p>
        </w:tc>
        <w:tc>
          <w:tcPr>
            <w:tcW w:w="560" w:type="dxa"/>
            <w:vAlign w:val="bottom"/>
            <w:shd w:val="clear" w:color="auto" w:fill="E5E5E5"/>
          </w:tcPr>
          <w:p>
            <w:pPr>
              <w:jc w:val="right"/>
              <w:ind w:right="188"/>
              <w:spacing w:after="0"/>
              <w:rPr>
                <w:sz w:val="20"/>
                <w:szCs w:val="20"/>
                <w:color w:val="auto"/>
              </w:rPr>
            </w:pPr>
            <w:r>
              <w:rPr>
                <w:rFonts w:ascii="Arial" w:cs="Arial" w:eastAsia="Arial" w:hAnsi="Arial"/>
                <w:sz w:val="15"/>
                <w:szCs w:val="15"/>
                <w:color w:val="auto"/>
                <w:w w:val="99"/>
              </w:rPr>
              <w:t>25%</w:t>
            </w:r>
          </w:p>
        </w:tc>
        <w:tc>
          <w:tcPr>
            <w:tcW w:w="600" w:type="dxa"/>
            <w:vAlign w:val="bottom"/>
            <w:vMerge w:val="restart"/>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500" w:type="dxa"/>
            <w:vAlign w:val="bottom"/>
            <w:shd w:val="clear" w:color="auto" w:fill="E5E5E5"/>
          </w:tcPr>
          <w:p>
            <w:pPr>
              <w:spacing w:after="0"/>
              <w:rPr>
                <w:sz w:val="17"/>
                <w:szCs w:val="17"/>
                <w:color w:val="auto"/>
              </w:rPr>
            </w:pPr>
          </w:p>
        </w:tc>
        <w:tc>
          <w:tcPr>
            <w:tcW w:w="480" w:type="dxa"/>
            <w:vAlign w:val="bottom"/>
            <w:vMerge w:val="restart"/>
            <w:shd w:val="clear" w:color="auto" w:fill="E5E5E5"/>
          </w:tcPr>
          <w:p>
            <w:pPr>
              <w:ind w:left="420"/>
              <w:spacing w:after="0"/>
              <w:rPr>
                <w:sz w:val="20"/>
                <w:szCs w:val="20"/>
                <w:color w:val="auto"/>
              </w:rPr>
            </w:pPr>
            <w:r>
              <w:rPr>
                <w:rFonts w:ascii="Arial" w:cs="Arial" w:eastAsia="Arial" w:hAnsi="Arial"/>
                <w:sz w:val="15"/>
                <w:szCs w:val="15"/>
                <w:color w:val="auto"/>
              </w:rPr>
              <w:t>​</w:t>
            </w:r>
          </w:p>
        </w:tc>
        <w:tc>
          <w:tcPr>
            <w:tcW w:w="400" w:type="dxa"/>
            <w:vAlign w:val="bottom"/>
            <w:shd w:val="clear" w:color="auto" w:fill="E5E5E5"/>
          </w:tcPr>
          <w:p>
            <w:pPr>
              <w:jc w:val="right"/>
              <w:ind w:right="15"/>
              <w:spacing w:after="0"/>
              <w:rPr>
                <w:sz w:val="20"/>
                <w:szCs w:val="20"/>
                <w:color w:val="auto"/>
              </w:rPr>
            </w:pPr>
            <w:r>
              <w:rPr>
                <w:rFonts w:ascii="Arial" w:cs="Arial" w:eastAsia="Arial" w:hAnsi="Arial"/>
                <w:sz w:val="15"/>
                <w:szCs w:val="15"/>
                <w:color w:val="auto"/>
              </w:rPr>
              <w:t>0%</w:t>
            </w:r>
          </w:p>
        </w:tc>
        <w:tc>
          <w:tcPr>
            <w:tcW w:w="340" w:type="dxa"/>
            <w:vAlign w:val="bottom"/>
            <w:vMerge w:val="restart"/>
            <w:shd w:val="clear" w:color="auto" w:fill="E5E5E5"/>
          </w:tcPr>
          <w:p>
            <w:pPr>
              <w:ind w:lef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0" w:type="dxa"/>
            <w:vAlign w:val="bottom"/>
            <w:tcBorders>
              <w:bottom w:val="single" w:sz="8" w:color="auto"/>
            </w:tcBorders>
            <w:vMerge w:val="continue"/>
            <w:shd w:val="clear" w:color="auto" w:fill="E5E5E5"/>
          </w:tcPr>
          <w:p>
            <w:pPr>
              <w:spacing w:after="0"/>
              <w:rPr>
                <w:sz w:val="4"/>
                <w:szCs w:val="4"/>
                <w:color w:val="auto"/>
              </w:rPr>
            </w:pPr>
          </w:p>
        </w:tc>
        <w:tc>
          <w:tcPr>
            <w:tcW w:w="820" w:type="dxa"/>
            <w:vAlign w:val="bottom"/>
            <w:tcBorders>
              <w:bottom w:val="single" w:sz="8" w:color="auto"/>
            </w:tcBorders>
            <w:shd w:val="clear" w:color="auto" w:fill="E5E5E5"/>
          </w:tcPr>
          <w:p>
            <w:pPr>
              <w:spacing w:after="0"/>
              <w:rPr>
                <w:sz w:val="4"/>
                <w:szCs w:val="4"/>
                <w:color w:val="auto"/>
              </w:rPr>
            </w:pPr>
          </w:p>
        </w:tc>
        <w:tc>
          <w:tcPr>
            <w:tcW w:w="1400" w:type="dxa"/>
            <w:vAlign w:val="bottom"/>
            <w:tcBorders>
              <w:bottom w:val="single" w:sz="8" w:color="auto"/>
            </w:tcBorders>
            <w:vMerge w:val="continue"/>
            <w:shd w:val="clear" w:color="auto" w:fill="E5E5E5"/>
          </w:tcPr>
          <w:p>
            <w:pPr>
              <w:spacing w:after="0"/>
              <w:rPr>
                <w:sz w:val="4"/>
                <w:szCs w:val="4"/>
                <w:color w:val="auto"/>
              </w:rPr>
            </w:pPr>
          </w:p>
        </w:tc>
        <w:tc>
          <w:tcPr>
            <w:tcW w:w="1540" w:type="dxa"/>
            <w:vAlign w:val="bottom"/>
            <w:tcBorders>
              <w:bottom w:val="single" w:sz="8" w:color="auto"/>
            </w:tcBorders>
            <w:vMerge w:val="continue"/>
            <w:shd w:val="clear" w:color="auto" w:fill="E5E5E5"/>
          </w:tcPr>
          <w:p>
            <w:pPr>
              <w:spacing w:after="0"/>
              <w:rPr>
                <w:sz w:val="4"/>
                <w:szCs w:val="4"/>
                <w:color w:val="auto"/>
              </w:rPr>
            </w:pPr>
          </w:p>
        </w:tc>
        <w:tc>
          <w:tcPr>
            <w:tcW w:w="900" w:type="dxa"/>
            <w:vAlign w:val="bottom"/>
            <w:tcBorders>
              <w:bottom w:val="single" w:sz="8" w:color="auto"/>
            </w:tcBorders>
            <w:vMerge w:val="continue"/>
            <w:shd w:val="clear" w:color="auto" w:fill="E5E5E5"/>
          </w:tcPr>
          <w:p>
            <w:pPr>
              <w:spacing w:after="0"/>
              <w:rPr>
                <w:sz w:val="4"/>
                <w:szCs w:val="4"/>
                <w:color w:val="auto"/>
              </w:rPr>
            </w:pPr>
          </w:p>
        </w:tc>
        <w:tc>
          <w:tcPr>
            <w:tcW w:w="560" w:type="dxa"/>
            <w:vAlign w:val="bottom"/>
            <w:tcBorders>
              <w:bottom w:val="single" w:sz="8" w:color="auto"/>
            </w:tcBorders>
            <w:shd w:val="clear" w:color="auto" w:fill="E5E5E5"/>
          </w:tcPr>
          <w:p>
            <w:pPr>
              <w:jc w:val="right"/>
              <w:ind w:right="288"/>
              <w:spacing w:after="0" w:line="54" w:lineRule="exact"/>
              <w:rPr>
                <w:sz w:val="20"/>
                <w:szCs w:val="20"/>
                <w:color w:val="auto"/>
              </w:rPr>
            </w:pPr>
            <w:r>
              <w:rPr>
                <w:rFonts w:ascii="Arial" w:cs="Arial" w:eastAsia="Arial" w:hAnsi="Arial"/>
                <w:sz w:val="5"/>
                <w:szCs w:val="5"/>
                <w:color w:val="auto"/>
              </w:rPr>
              <w:t>​</w:t>
            </w:r>
          </w:p>
        </w:tc>
        <w:tc>
          <w:tcPr>
            <w:tcW w:w="600" w:type="dxa"/>
            <w:vAlign w:val="bottom"/>
            <w:tcBorders>
              <w:bottom w:val="single" w:sz="8" w:color="auto"/>
            </w:tcBorders>
            <w:vMerge w:val="continue"/>
            <w:shd w:val="clear" w:color="auto" w:fill="E5E5E5"/>
          </w:tcPr>
          <w:p>
            <w:pPr>
              <w:spacing w:after="0"/>
              <w:rPr>
                <w:sz w:val="4"/>
                <w:szCs w:val="4"/>
                <w:color w:val="auto"/>
              </w:rPr>
            </w:pPr>
          </w:p>
        </w:tc>
        <w:tc>
          <w:tcPr>
            <w:tcW w:w="1240" w:type="dxa"/>
            <w:vAlign w:val="bottom"/>
            <w:tcBorders>
              <w:bottom w:val="single" w:sz="8" w:color="auto"/>
            </w:tcBorders>
            <w:vMerge w:val="continue"/>
            <w:shd w:val="clear" w:color="auto" w:fill="E5E5E5"/>
          </w:tcPr>
          <w:p>
            <w:pPr>
              <w:spacing w:after="0"/>
              <w:rPr>
                <w:sz w:val="4"/>
                <w:szCs w:val="4"/>
                <w:color w:val="auto"/>
              </w:rPr>
            </w:pPr>
          </w:p>
        </w:tc>
        <w:tc>
          <w:tcPr>
            <w:tcW w:w="500" w:type="dxa"/>
            <w:vAlign w:val="bottom"/>
            <w:tcBorders>
              <w:bottom w:val="single" w:sz="8" w:color="auto"/>
            </w:tcBorders>
            <w:shd w:val="clear" w:color="auto" w:fill="E5E5E5"/>
          </w:tcPr>
          <w:p>
            <w:pPr>
              <w:spacing w:after="0"/>
              <w:rPr>
                <w:sz w:val="4"/>
                <w:szCs w:val="4"/>
                <w:color w:val="auto"/>
              </w:rPr>
            </w:pPr>
          </w:p>
        </w:tc>
        <w:tc>
          <w:tcPr>
            <w:tcW w:w="480" w:type="dxa"/>
            <w:vAlign w:val="bottom"/>
            <w:tcBorders>
              <w:bottom w:val="single" w:sz="8" w:color="auto"/>
            </w:tcBorders>
            <w:vMerge w:val="continue"/>
            <w:shd w:val="clear" w:color="auto" w:fill="E5E5E5"/>
          </w:tcPr>
          <w:p>
            <w:pPr>
              <w:spacing w:after="0"/>
              <w:rPr>
                <w:sz w:val="4"/>
                <w:szCs w:val="4"/>
                <w:color w:val="auto"/>
              </w:rPr>
            </w:pPr>
          </w:p>
        </w:tc>
        <w:tc>
          <w:tcPr>
            <w:tcW w:w="400" w:type="dxa"/>
            <w:vAlign w:val="bottom"/>
            <w:tcBorders>
              <w:bottom w:val="single" w:sz="8" w:color="auto"/>
            </w:tcBorders>
            <w:shd w:val="clear" w:color="auto" w:fill="E5E5E5"/>
          </w:tcPr>
          <w:p>
            <w:pPr>
              <w:jc w:val="right"/>
              <w:ind w:right="115"/>
              <w:spacing w:after="0" w:line="54" w:lineRule="exact"/>
              <w:rPr>
                <w:sz w:val="20"/>
                <w:szCs w:val="20"/>
                <w:color w:val="auto"/>
              </w:rPr>
            </w:pPr>
            <w:r>
              <w:rPr>
                <w:rFonts w:ascii="Arial" w:cs="Arial" w:eastAsia="Arial" w:hAnsi="Arial"/>
                <w:sz w:val="5"/>
                <w:szCs w:val="5"/>
                <w:color w:val="auto"/>
              </w:rPr>
              <w:t>​</w:t>
            </w:r>
          </w:p>
        </w:tc>
        <w:tc>
          <w:tcPr>
            <w:tcW w:w="340" w:type="dxa"/>
            <w:vAlign w:val="bottom"/>
            <w:tcBorders>
              <w:bottom w:val="single" w:sz="8" w:color="auto"/>
            </w:tcBorders>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See the columns “Stock Awards” and “Option Awards” in the table appearing in the section “Compensation Tables — Summary Compensation Table” and the column “Estimated Future Payouts Under Equity Incentive Plan Awards” in the table appearing in the section “Compensation Tables — Grants of Plan-Based Awards” below in this proxy statement for threshold, target, and maximum amounts payable to our named executive officers under the 2025 grants of performance-based awards.</w:t>
      </w:r>
    </w:p>
    <w:p>
      <w:pPr>
        <w:spacing w:after="0" w:line="100" w:lineRule="exact"/>
        <w:rPr>
          <w:sz w:val="20"/>
          <w:szCs w:val="20"/>
          <w:color w:val="auto"/>
        </w:rPr>
      </w:pPr>
    </w:p>
    <w:p>
      <w:pPr>
        <w:jc w:val="both"/>
        <w:ind w:left="760" w:right="40"/>
        <w:spacing w:after="0" w:line="245" w:lineRule="auto"/>
        <w:rPr>
          <w:sz w:val="20"/>
          <w:szCs w:val="20"/>
          <w:color w:val="auto"/>
        </w:rPr>
      </w:pPr>
      <w:r>
        <w:rPr>
          <w:rFonts w:ascii="Arial" w:cs="Arial" w:eastAsia="Arial" w:hAnsi="Arial"/>
          <w:sz w:val="16"/>
          <w:szCs w:val="16"/>
          <w:i w:val="1"/>
          <w:iCs w:val="1"/>
          <w:color w:val="auto"/>
        </w:rPr>
        <w:t xml:space="preserve">Payout of 2023 PSUs. </w:t>
      </w:r>
      <w:r>
        <w:rPr>
          <w:rFonts w:ascii="Arial" w:cs="Arial" w:eastAsia="Arial" w:hAnsi="Arial"/>
          <w:sz w:val="16"/>
          <w:szCs w:val="16"/>
          <w:color w:val="auto"/>
        </w:rPr>
        <w:t>In February 2026, the Compensation Committee determined the level of achievement of the TSR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with respect to the performance-based awards made in 2023, with a three-year measurement period. The Compensation Committee reviewed the Company’s relative TSR performance as compared to the S&amp;P 1500 Specialty Retail Index for the period January 1, 2023 through December 31, 2025, and determined that our relative TSR performance as compared to the S&amp;P 1500 Specialty Retail Index for the three-year period ended December 31, 2025, ranked us 33 out of 49 companies in the S&amp;P 1500 Specialty Retail Index, or the 33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percentile, which resulted in the vesting of 50% of the performance-based restricted stock units that were granted in 2023 to each of our named executive officers who were employed by the Company in 2023.</w:t>
      </w:r>
    </w:p>
    <w:p>
      <w:pPr>
        <w:spacing w:after="0" w:line="3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Chief Financial Officer Change in 2025</w:t>
      </w:r>
    </w:p>
    <w:p>
      <w:pPr>
        <w:spacing w:after="0" w:line="149" w:lineRule="exact"/>
        <w:rPr>
          <w:sz w:val="20"/>
          <w:szCs w:val="20"/>
          <w:color w:val="auto"/>
        </w:rPr>
      </w:pPr>
    </w:p>
    <w:p>
      <w:pPr>
        <w:jc w:val="both"/>
        <w:ind w:left="760" w:right="40"/>
        <w:spacing w:after="0" w:line="260" w:lineRule="auto"/>
        <w:rPr>
          <w:sz w:val="20"/>
          <w:szCs w:val="20"/>
          <w:color w:val="auto"/>
        </w:rPr>
      </w:pPr>
      <w:r>
        <w:rPr>
          <w:rFonts w:ascii="Arial" w:cs="Arial" w:eastAsia="Arial" w:hAnsi="Arial"/>
          <w:sz w:val="16"/>
          <w:szCs w:val="16"/>
          <w:color w:val="auto"/>
        </w:rPr>
        <w:t>Mr. Hal Khouri joined the Company as Executive Vice President — Chief Financial Officer effective November 10, 2025. Pursuant to Mr. Khouri’s offer letter from the Company, Mr. Khouri’s base salary was set at $675,000 and his annual incentive bonus target opportunity is equal to 60% of his base salary. Pursuant to his offer letter, Mr. Khouri’s cash incentive award for 2025 was pro-rated based on an assumed nine months of service with the Company. Mr. Khouri is eligible to participate in the Long Term Incentive Program (“LTIP”) with a target annual award amount equal to 170% of his base salary. Mr. Khouri also received a one-time LTIP sign-on award in restricted stock units (“RSUs”)   valued at $1,500,000 that will vest pro rata over three years in equal installments. In determining the sign-on RSU award, the Compensation Committee considered that Mr. Khouri forfeited equity awards in an amount equal to the value of this sign-on award from a previous employer. Mr. Khouri also received reimbursement of relocation expenses of up to $200,000, and must repay the relocation reimbursement in full if he voluntarily leaves the employment of Upbound or is terminated for cause within his first year of employment, or repay one half of the relocation reimbursement during his second year of employment. Mr. Khouri also entered into an executive transition agreement as described in the sections “Severance Arrangements” and “Termination of Employment and Change-in-Control Arrangements.” In determining Mr. Khouri’s compensation, including his target annual and long term incentive opportunities and sign-on award, the Compensation Committee considered the responsibilities of the role of Executive Vice President — Chief Financial Officer, external market data, Mr. Khouri’s experience, the foregone compensation opportunities at his former employer, and internal pay equity.</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Say-on-Pay Results</w:t>
      </w:r>
    </w:p>
    <w:p>
      <w:pPr>
        <w:spacing w:after="0" w:line="162"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In June 2025, we held a stockholder advisory vote on the compensation of our named executive officers, referred to as a say-on-pay vote. Our stockholders approved the compensation of our named executive officers, with approximately 98% of the shares of common stock present and entitled to vote thereon cast in favor of our proposal. As noted above, our Compensation Committee believed this strong support expressed by our stockholders on this vote and further reinforced in our outreach efforts indicated a general endorsement of our compensation philosophy and pay-for-performance culture. Accordingly, the compensation decisions for the remaining 2025 fiscal year and early 2026 compensation decisions were made keeping in mind this support. As a result, our Compensation Committee retained the same overall executive</w:t>
      </w:r>
    </w:p>
    <w:p>
      <w:pPr>
        <w:spacing w:after="0" w:line="200" w:lineRule="exact"/>
        <w:rPr>
          <w:sz w:val="20"/>
          <w:szCs w:val="20"/>
          <w:color w:val="auto"/>
        </w:rPr>
      </w:pPr>
    </w:p>
    <w:p>
      <w:pPr>
        <w:spacing w:after="0" w:line="248"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38</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760" w:right="60"/>
        <w:spacing w:after="0" w:line="286" w:lineRule="auto"/>
        <w:rPr>
          <w:sz w:val="20"/>
          <w:szCs w:val="20"/>
          <w:color w:val="auto"/>
        </w:rPr>
      </w:pPr>
      <w:r>
        <w:rPr>
          <w:rFonts w:ascii="Arial" w:cs="Arial" w:eastAsia="Arial" w:hAnsi="Arial"/>
          <w:sz w:val="16"/>
          <w:szCs w:val="16"/>
          <w:color w:val="auto"/>
        </w:rPr>
        <w:t>compensation structure, with an emphasis on short- and long-term incentive compensation that aligns our executives with value creation for our stockholders.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Termination of Employment and Change-in-Control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Arrangements with Mr. Karam</w:t>
      </w:r>
    </w:p>
    <w:p>
      <w:pPr>
        <w:spacing w:after="0" w:line="162"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On February 19, 2025, Mr. Karam entered into an Employment Agreement with the Company (the “Employment Agreement”), setting forth the terms and conditions of his employment as Chief Executive Officer. Under the Employment Agreement, Mr. Karam received, as of June 1, 2025, an annual base salary in an amount equal to $1,100,000 and, commencing in 2025, an annual cash bonus with a target equal to 150% of his annual base salary and an annual equity-based award with a target grant date fair value equal to 450% of his annual base salary.</w:t>
      </w:r>
    </w:p>
    <w:p>
      <w:pPr>
        <w:spacing w:after="0" w:line="118" w:lineRule="exact"/>
        <w:rPr>
          <w:sz w:val="20"/>
          <w:szCs w:val="20"/>
          <w:color w:val="auto"/>
        </w:rPr>
      </w:pPr>
    </w:p>
    <w:p>
      <w:pPr>
        <w:jc w:val="both"/>
        <w:ind w:left="760" w:right="40"/>
        <w:spacing w:after="0" w:line="260" w:lineRule="auto"/>
        <w:rPr>
          <w:sz w:val="20"/>
          <w:szCs w:val="20"/>
          <w:color w:val="auto"/>
        </w:rPr>
      </w:pPr>
      <w:r>
        <w:rPr>
          <w:rFonts w:ascii="Arial" w:cs="Arial" w:eastAsia="Arial" w:hAnsi="Arial"/>
          <w:sz w:val="16"/>
          <w:szCs w:val="16"/>
          <w:color w:val="auto"/>
        </w:rPr>
        <w:t>In addition, Mr. Karam is eligible to participate in the Company’s employee benefit plans covering employees of the Company on the same terms and conditions as other senior executives of the Company, as described in the Employment Agreement. In connection with a termination of employment by the Company without “cause” or by Mr. Karam for “good reason” ​(in each case as defined in the Employment Agreement), subject to Mr. Karam’s execution of a release of claims, Mr. Karam will be entitled to receive: (i) two times the sum of Mr. Karam’s annual base salary and target annual bonus (payable in equal installments over 24 months), (ii) a pro rata annual bonus for the year of termination based on actual performance, (iii) up to 24 months of benefit continuation coverage and (iv) Mr. Karam’s unvested and outstanding equity-based awards for which he has remained continuously employed from the grant date through the first anniversary of the grant date will be treated as follows: (a) each such award that is subject solely to time-based vesting conditions will be accelerated in full and (b) each such award that is subject to performance-based vesting conditions will remain outstanding and continue to vest in accordance with the award’s original vesting schedule irrespective of the termination of Mr. Karam’s employment, subject to the satisfaction of any applicable performance criteria. If Mr. Karam experiences a qualifying termination in connection with a “change in control” ​(as defined in the Employment Agreement), the cash severance described in clause (i) of the preceding sentence will be paid in a lump sum and the pro-rata bonus for the year of termination will equal Mr. Karam’s target annual bonus. If Mr. Karam’s employment is terminated due to death or “disability” ​(as defined in the Employment Agreement), he will be entitled to a pro rata annual bonus for the year of termination based on actual performance and up to 24 months of benefit continuation coverage. The Employment Agreement also contains non-competition and employee and client non-solicitation covenants that apply during Mr. Karam’s employment and for two years thereafter, as well as perpetual non-disparagement and confidentiality provisions.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Arrangements with Named Executive Officers (Other Than Messrs. Karam and Fadel)</w:t>
      </w:r>
    </w:p>
    <w:p>
      <w:pPr>
        <w:spacing w:after="0" w:line="162" w:lineRule="exact"/>
        <w:rPr>
          <w:sz w:val="20"/>
          <w:szCs w:val="20"/>
          <w:color w:val="auto"/>
        </w:rPr>
      </w:pPr>
    </w:p>
    <w:p>
      <w:pPr>
        <w:jc w:val="both"/>
        <w:ind w:left="760" w:right="40"/>
        <w:spacing w:after="0" w:line="269" w:lineRule="auto"/>
        <w:rPr>
          <w:sz w:val="20"/>
          <w:szCs w:val="20"/>
          <w:color w:val="auto"/>
        </w:rPr>
      </w:pPr>
      <w:r>
        <w:rPr>
          <w:rFonts w:ascii="Arial" w:cs="Arial" w:eastAsia="Arial" w:hAnsi="Arial"/>
          <w:sz w:val="16"/>
          <w:szCs w:val="16"/>
          <w:color w:val="auto"/>
        </w:rPr>
        <w:t>We have in place executive transition agreements with each of our named executive officers who are current executive officers other than Mr. Karam and other than Mr. Fadel, each of whose agreement is described separately. Each executive transition agreement has similar terms, as described below, and is intended to provide certain payments and benefits upon an involuntary termination of the named executive officer’s employment or the occurrence of certain other circumstances that may affect the named executive officer.</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Termination Not in Conjunction with a Change in Control</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Without Cause</w:t>
      </w:r>
    </w:p>
    <w:p>
      <w:pPr>
        <w:spacing w:after="0" w:line="162"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Under the executive transition agreements, if the named executive officer’s employment is terminated without “cause” the named executive officer will be entitled to receive:</w:t>
      </w:r>
    </w:p>
    <w:p>
      <w:pPr>
        <w:spacing w:after="0" w:line="47" w:lineRule="exact"/>
        <w:rPr>
          <w:sz w:val="20"/>
          <w:szCs w:val="20"/>
          <w:color w:val="auto"/>
        </w:rPr>
      </w:pPr>
    </w:p>
    <w:p>
      <w:pPr>
        <w:ind w:left="940" w:hanging="178"/>
        <w:spacing w:after="0"/>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unpaid but earned base salary through the date of such termination;</w:t>
      </w:r>
    </w:p>
    <w:p>
      <w:pPr>
        <w:spacing w:after="0" w:line="126" w:lineRule="exact"/>
        <w:rPr>
          <w:rFonts w:ascii="Arial" w:cs="Arial" w:eastAsia="Arial" w:hAnsi="Arial"/>
          <w:sz w:val="16"/>
          <w:szCs w:val="16"/>
          <w:color w:val="auto"/>
        </w:rPr>
      </w:pPr>
    </w:p>
    <w:p>
      <w:pPr>
        <w:jc w:val="both"/>
        <w:ind w:left="940" w:right="40" w:hanging="178"/>
        <w:spacing w:after="0" w:line="265" w:lineRule="auto"/>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such termination occurs prior to April 1, a pro rata bonus calculated based upon the annual bonus the named executive officer would have earned for the calendar year of termination, as determined in the Company’s sole discretion and paid in a lump sum in cash in the normal course upon the Company’s completion of annual bonus calculations (such amount, the “Pro Rata Bonus”);</w:t>
      </w:r>
    </w:p>
    <w:p>
      <w:pPr>
        <w:spacing w:after="0" w:line="78" w:lineRule="exact"/>
        <w:rPr>
          <w:rFonts w:ascii="Arial" w:cs="Arial" w:eastAsia="Arial" w:hAnsi="Arial"/>
          <w:sz w:val="16"/>
          <w:szCs w:val="16"/>
          <w:color w:val="auto"/>
        </w:rPr>
      </w:pPr>
    </w:p>
    <w:p>
      <w:pPr>
        <w:jc w:val="both"/>
        <w:ind w:left="940" w:right="60" w:hanging="178"/>
        <w:spacing w:after="0" w:line="284" w:lineRule="auto"/>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1.5x the named executive officer’s highest annual rate of salary during the 24 months preceding such termination (and, for Mr. Blasquez, 1.5x his average annual bonus for the two preceding calendar years), payable in equal monthly or more frequent installments by no later than the second December 31 following the calendar year of such termination; and</w:t>
      </w:r>
    </w:p>
    <w:p>
      <w:pPr>
        <w:spacing w:after="0" w:line="62" w:lineRule="exact"/>
        <w:rPr>
          <w:rFonts w:ascii="Arial" w:cs="Arial" w:eastAsia="Arial" w:hAnsi="Arial"/>
          <w:sz w:val="16"/>
          <w:szCs w:val="16"/>
          <w:color w:val="auto"/>
        </w:rPr>
      </w:pPr>
    </w:p>
    <w:p>
      <w:pPr>
        <w:ind w:left="940" w:right="40" w:hanging="178"/>
        <w:spacing w:after="0" w:line="286" w:lineRule="auto"/>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continued health insurance coverage for the named executive officer and the named executive officer’s spouse and covered dependents for up to 18 months.</w:t>
      </w:r>
    </w:p>
    <w:p>
      <w:pPr>
        <w:spacing w:after="0" w:line="200" w:lineRule="exact"/>
        <w:rPr>
          <w:sz w:val="20"/>
          <w:szCs w:val="20"/>
          <w:color w:val="auto"/>
        </w:rPr>
      </w:pPr>
    </w:p>
    <w:p>
      <w:pPr>
        <w:spacing w:after="0" w:line="230"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6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Disability or Death</w:t>
      </w:r>
    </w:p>
    <w:p>
      <w:pPr>
        <w:spacing w:after="0" w:line="149" w:lineRule="exact"/>
        <w:rPr>
          <w:sz w:val="20"/>
          <w:szCs w:val="20"/>
          <w:color w:val="auto"/>
        </w:rPr>
      </w:pPr>
    </w:p>
    <w:p>
      <w:pPr>
        <w:ind w:left="760" w:right="20"/>
        <w:spacing w:after="0" w:line="304" w:lineRule="auto"/>
        <w:rPr>
          <w:sz w:val="20"/>
          <w:szCs w:val="20"/>
          <w:color w:val="auto"/>
        </w:rPr>
      </w:pPr>
      <w:r>
        <w:rPr>
          <w:rFonts w:ascii="Arial" w:cs="Arial" w:eastAsia="Arial" w:hAnsi="Arial"/>
          <w:sz w:val="16"/>
          <w:szCs w:val="16"/>
          <w:color w:val="auto"/>
        </w:rPr>
        <w:t>Under the executive transition agreements, if the named executive officer’s employment is terminated due to disability or death, the named executive officer will be entitled to receive:</w:t>
      </w:r>
    </w:p>
    <w:p>
      <w:pPr>
        <w:spacing w:after="0" w:line="47" w:lineRule="exact"/>
        <w:rPr>
          <w:sz w:val="20"/>
          <w:szCs w:val="20"/>
          <w:color w:val="auto"/>
        </w:rPr>
      </w:pPr>
    </w:p>
    <w:p>
      <w:pPr>
        <w:ind w:left="940" w:hanging="178"/>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unpaid but earned base salary through the date of termination;</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Pro Rata Bonus applicable to such named executive officer; and</w:t>
      </w:r>
    </w:p>
    <w:p>
      <w:pPr>
        <w:spacing w:after="0" w:line="126"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continued health insurance coverage for the named executive officer and the named executive officer’s spouse and covered dependents for up to 12 months.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For Cause</w:t>
      </w:r>
    </w:p>
    <w:p>
      <w:pPr>
        <w:spacing w:after="0" w:line="162"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Under the executive transition agreements, if the named executive officer’s employment is terminated for “cause” or if the named executive officer terminates the named executive officer’s employment for any reason other than disability or death, the named executive officer will be entitled to receive unpaid but earned base salary through the date of termination (reduced by amounts, if any, owed by the named executive officer to us or our affiliates).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Certain Other Provisions under the Executive Transition Agreements</w:t>
      </w:r>
    </w:p>
    <w:p>
      <w:pPr>
        <w:spacing w:after="0" w:line="162"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The Compensation Committee or the Board may condition the payment of severance or benefits on the execution and delivery by the named executive officer of a general release in favor of us, our affiliates and our officers, directors, and employees, provided that no such release will be required for the payment to the named executive officer of accrued compensation.</w:t>
      </w:r>
    </w:p>
    <w:p>
      <w:pPr>
        <w:spacing w:after="0" w:line="110"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If payments would subject the named executive officer to excise tax under Section 4999 of the Code, or the Company would be denied a deduction under Section 280G of the Code, then the amounts otherwise payable to the named executive officer will be reduced by the minimum amount necessary to ensure the named executive officer will not be subject to such excise tax and the Company will not be denied any such deduction.</w:t>
      </w:r>
    </w:p>
    <w:p>
      <w:pPr>
        <w:spacing w:after="0" w:line="100"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Loyalty and Confidentiality Agreements executed in connection with our executive transition agreements provide noncompetition and non-solicitation provisions for the benefit of the Company that remain in effect during the period of employment and an additional period of one-and-a-half to two years thereafter.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Termination in Conjunction with a Change in Control</w:t>
      </w:r>
    </w:p>
    <w:p>
      <w:pPr>
        <w:spacing w:after="0" w:line="160"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Under the executive transition agreements, if the named executive officer’s employment is terminated within the period beginning six months prior to a change in control and ending 24 months following a change in control of us without “cause” or by the named executive officer for “good reason,” the named executive officer will be entitled to receive the severance payments and benefits as described below:</w:t>
      </w:r>
    </w:p>
    <w:p>
      <w:pPr>
        <w:spacing w:after="0" w:line="73" w:lineRule="exact"/>
        <w:rPr>
          <w:sz w:val="20"/>
          <w:szCs w:val="20"/>
          <w:color w:val="auto"/>
        </w:rPr>
      </w:pPr>
    </w:p>
    <w:p>
      <w:pPr>
        <w:ind w:left="940" w:hanging="178"/>
        <w:spacing w:after="0"/>
        <w:tabs>
          <w:tab w:leader="none" w:pos="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unpaid but earned base salary through the date of termination;</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Pro Rata Bonus applicable to such named executive officer;</w:t>
      </w:r>
    </w:p>
    <w:p>
      <w:pPr>
        <w:spacing w:after="0" w:line="126" w:lineRule="exact"/>
        <w:rPr>
          <w:rFonts w:ascii="Arial" w:cs="Arial" w:eastAsia="Arial" w:hAnsi="Arial"/>
          <w:sz w:val="16"/>
          <w:szCs w:val="16"/>
          <w:color w:val="auto"/>
        </w:rPr>
      </w:pPr>
    </w:p>
    <w:p>
      <w:pPr>
        <w:jc w:val="both"/>
        <w:ind w:left="940" w:hanging="178"/>
        <w:spacing w:after="0" w:line="284" w:lineRule="auto"/>
        <w:tabs>
          <w:tab w:leader="none" w:pos="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2.0x the named executive officer’s highest annual rate of salary during the 24 months preceding such termination (and, for Mr. Blasquez, his average annual bonus for the two preceding calendar years), payable in a lump sum in cash within 10 business days following the later of such termination or the change in control; and</w:t>
      </w:r>
    </w:p>
    <w:p>
      <w:pPr>
        <w:spacing w:after="0" w:line="48"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continued health insurance coverage for the named executive officer and the named executive officer’s spouse and covered dependents for an extended period of up to 24 months.</w:t>
      </w:r>
    </w:p>
    <w:p>
      <w:pPr>
        <w:spacing w:after="0" w:line="74"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If the named executive officer’s employment is terminated in connection with a change in control due to disability or death, or for “cause” or without “good reason,” the named executive officer will be entitled to receive the same severance payments and benefits as described above (not in connection with a change in control) with respect to a termination due to disability or death or for “cause,” respectively. If payments would subject the named executive officer to excise tax under Section 4999 of the Code, or the Company would be denied a deduction under Section 280G of the Code, then the amounts otherwise payable to the named executive officer will be reduced by the minimum amount necessary to ensure the named executive officer will not be subject to such excise tax and the Company will not be denied any such deduction.</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Under the executive transition agreements, a “change in control” would generally occur upon any of the following:</w:t>
      </w:r>
    </w:p>
    <w:p>
      <w:pPr>
        <w:spacing w:after="0" w:line="113" w:lineRule="exact"/>
        <w:rPr>
          <w:sz w:val="20"/>
          <w:szCs w:val="20"/>
          <w:color w:val="auto"/>
        </w:rPr>
      </w:pPr>
    </w:p>
    <w:p>
      <w:pPr>
        <w:ind w:left="940" w:hanging="178"/>
        <w:spacing w:after="0" w:line="304" w:lineRule="auto"/>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person becomes the beneficial owner of 40% or more of the combined voting power of our then outstanding voting securities;</w:t>
      </w:r>
    </w:p>
    <w:p>
      <w:pPr>
        <w:spacing w:after="0" w:line="200" w:lineRule="exact"/>
        <w:rPr>
          <w:sz w:val="20"/>
          <w:szCs w:val="20"/>
          <w:color w:val="auto"/>
        </w:rPr>
      </w:pPr>
    </w:p>
    <w:p>
      <w:pPr>
        <w:spacing w:after="0" w:line="203"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40</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940" w:right="40" w:hanging="178"/>
        <w:spacing w:after="0" w:line="262" w:lineRule="auto"/>
        <w:tabs>
          <w:tab w:leader="none" w:pos="9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consolidation, merger or reorganization of us, unless (i) our stockholders immediately prior to such transaction own at least a majority of the voting power of the outstanding voting securities of the resulting entity, (ii) the members of our Board immediately prior to the execution of the agreement providing for such a transaction constitute a majority of the board of directors of the surviving corporation or of its majority stockholder, and (iii) no person beneficially owns more than 40% of the combined voting power of the then outstanding voting securities of the surviving corporation other than a person who is (a) us or a subsidiary of us, (b) an employee benefit plan maintained by us, the surviving corporation or any subsidiary, or (c) the beneficial owner of 40% or more of the combined voting power of our outstanding voting securities immediately prior to such transaction;</w:t>
      </w:r>
    </w:p>
    <w:p>
      <w:pPr>
        <w:spacing w:after="0" w:line="80" w:lineRule="exact"/>
        <w:rPr>
          <w:rFonts w:ascii="Arial" w:cs="Arial" w:eastAsia="Arial" w:hAnsi="Arial"/>
          <w:sz w:val="16"/>
          <w:szCs w:val="16"/>
          <w:color w:val="auto"/>
        </w:rPr>
      </w:pPr>
    </w:p>
    <w:p>
      <w:pPr>
        <w:jc w:val="both"/>
        <w:ind w:left="940" w:right="40" w:hanging="178"/>
        <w:spacing w:after="0" w:line="275" w:lineRule="auto"/>
        <w:tabs>
          <w:tab w:leader="none" w:pos="9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individuals who constitute our entire Board (the “Incumbent Board”) cease to constitute a majority of our Board, provided that anyone who becomes a director and whose appointment or nomination for election was approved by at least two-thirds of our directors at the time shall be considered as though such individual were a member of the Incumbent Board; or</w:t>
      </w:r>
    </w:p>
    <w:p>
      <w:pPr>
        <w:spacing w:after="0" w:line="69"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complete liquidation or dissolution of us, or a sale or other disposition of all or substantially all of our assets (other than to an entity described in the second bullet point above).</w:t>
      </w:r>
    </w:p>
    <w:p>
      <w:pPr>
        <w:spacing w:after="0" w:line="74" w:lineRule="exact"/>
        <w:rPr>
          <w:sz w:val="20"/>
          <w:szCs w:val="20"/>
          <w:color w:val="auto"/>
        </w:rPr>
      </w:pPr>
    </w:p>
    <w:p>
      <w:pPr>
        <w:jc w:val="both"/>
        <w:ind w:left="760" w:right="40"/>
        <w:spacing w:after="0" w:line="284" w:lineRule="auto"/>
        <w:rPr>
          <w:sz w:val="20"/>
          <w:szCs w:val="20"/>
          <w:color w:val="auto"/>
        </w:rPr>
      </w:pPr>
      <w:r>
        <w:rPr>
          <w:rFonts w:ascii="Arial" w:cs="Arial" w:eastAsia="Arial" w:hAnsi="Arial"/>
          <w:sz w:val="16"/>
          <w:szCs w:val="16"/>
          <w:color w:val="auto"/>
        </w:rPr>
        <w:t>Loyalty and Confidentiality Agreements executed in connection with our executive transition agreements provide non-competition and non-solicitation provisions for the benefit of the Company that remain in effect during the period of employment and an additional period of one-and-a-half to two years thereafter.</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Arrangements with Mr. Fadel</w:t>
      </w:r>
    </w:p>
    <w:p>
      <w:pPr>
        <w:spacing w:after="0" w:line="162"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As previously disclosed, Mr. Fadel did not receive any cash severance benefits in connection with his retirement on June 1, 2025. He received equity award continued vesting consistent with the letter agreement we entered into with him in April 2024, subject to the terms and conditions set forth therein.</w:t>
      </w:r>
    </w:p>
    <w:p>
      <w:pPr>
        <w:spacing w:after="0" w:line="97"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To support Mr. Fadel’s retention and recognize his more than 30 years of service with the Company, we entered into a letter agreement with Mr. Fadel in April 2024, which specified the treatment of certain of his equity-based awards in the event of his termination of employment with the Company on or after March 31, 2025. The letter agreement provides that Mr. Fadel’s equity-based awards granted on or before March 31, 2025 with respect to which he has remained employed with the Company through the first anniversary of the applicable grant date will continue to vest as set forth in the applicable award agreement following any termination of his employment (other than for cause) after March 31, 2025, unless the applicable award agreement provides full accelerated vesting for his termination event. Under this treatment, performance stock units will remain subject to performance objectives and stock options will remain exercisable through their remaining term, each as set forth in the applicable award agreement. The affected equity-based awards will otherwise remain subject to the terms and conditions of the plan and award agreement pursuant to which such award was granted. This treatment does not apply to any equity-based awards granted to Mr. Fadel after March 31, 2025.</w:t>
      </w:r>
    </w:p>
    <w:p>
      <w:pPr>
        <w:spacing w:after="0" w:line="113"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In addition, Mr. Fadel’s April 2019 employment agreement, which is described below, applied to terminations of his employment other than his retirement on June 1, 2025.</w:t>
      </w:r>
    </w:p>
    <w:p>
      <w:pPr>
        <w:spacing w:after="0" w:line="74"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i w:val="1"/>
          <w:iCs w:val="1"/>
          <w:color w:val="auto"/>
        </w:rPr>
        <w:t xml:space="preserve">Disability or Death. </w:t>
      </w:r>
      <w:r>
        <w:rPr>
          <w:rFonts w:ascii="Arial" w:cs="Arial" w:eastAsia="Arial" w:hAnsi="Arial"/>
          <w:sz w:val="16"/>
          <w:szCs w:val="16"/>
          <w:color w:val="auto"/>
        </w:rPr>
        <w:t>Pursuant to Mr. Fadel’s employment agreement, if we had terminated Mr. Fadel’s employment due to his</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or death, Mr. Fadel would have been entitled to receive unpaid but earned base salary through the date of termination, a pro rata bonus calculated based upon Mr. Fadel’s bonus amount from the previous year, and continued health insurance coverage for Mr. Fadel and Mr. Fadel’s spouse and covered dependents for up to 24 months.</w:t>
      </w:r>
    </w:p>
    <w:p>
      <w:pPr>
        <w:spacing w:after="0" w:line="114" w:lineRule="exact"/>
        <w:rPr>
          <w:sz w:val="20"/>
          <w:szCs w:val="20"/>
          <w:color w:val="auto"/>
        </w:rPr>
      </w:pPr>
    </w:p>
    <w:p>
      <w:pPr>
        <w:jc w:val="both"/>
        <w:ind w:left="760" w:right="60"/>
        <w:spacing w:after="0" w:line="275" w:lineRule="auto"/>
        <w:rPr>
          <w:sz w:val="20"/>
          <w:szCs w:val="20"/>
          <w:color w:val="auto"/>
        </w:rPr>
      </w:pPr>
      <w:r>
        <w:rPr>
          <w:rFonts w:ascii="Arial" w:cs="Arial" w:eastAsia="Arial" w:hAnsi="Arial"/>
          <w:sz w:val="16"/>
          <w:szCs w:val="16"/>
          <w:i w:val="1"/>
          <w:iCs w:val="1"/>
          <w:color w:val="auto"/>
        </w:rPr>
        <w:t>For Cause</w:t>
      </w:r>
      <w:r>
        <w:rPr>
          <w:rFonts w:ascii="Arial" w:cs="Arial" w:eastAsia="Arial" w:hAnsi="Arial"/>
          <w:sz w:val="16"/>
          <w:szCs w:val="16"/>
          <w:color w:val="auto"/>
        </w:rPr>
        <w:t>. If we had terminated Mr. Fadel’s employment for “cause,” or if Mr. Fadel terminated his employment with us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other than death, disability or “good reason,” Mr. Fadel would have been entitled to receive his unpaid but earned base salary through the date of termination (reduced by amounts, if any, owed by Mr. Fadel to us or our affiliates).</w:t>
      </w:r>
    </w:p>
    <w:p>
      <w:pPr>
        <w:spacing w:after="0" w:line="97"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i w:val="1"/>
          <w:iCs w:val="1"/>
          <w:color w:val="auto"/>
        </w:rPr>
        <w:t>Without Cause/For Good Reason</w:t>
      </w:r>
      <w:r>
        <w:rPr>
          <w:rFonts w:ascii="Arial" w:cs="Arial" w:eastAsia="Arial" w:hAnsi="Arial"/>
          <w:sz w:val="16"/>
          <w:szCs w:val="16"/>
          <w:color w:val="auto"/>
        </w:rPr>
        <w:t>. If Mr. Fadel’s employment had been terminated by us without “cause” ​(as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or by Mr. Fadel for “good reason,” Mr. Fadel would have been entitled to receive unpaid but earned base salary through the date of termination, a pro rata bonus calculated based upon Mr. Fadel’s bonus amount from the previous year, 2.0x the sum of Mr. Fadel’s (x) highest annual rate of salary during the previous 24 months and (y) his target cash bonus amount for the calendar year in which the termination occurs, payable in equal monthly installments over a period of 24 months, and continued health insurance coverage for Mr. Fadel and Mr. Fadel’s spouse and covered dependents for up to 24 months.</w:t>
      </w:r>
    </w:p>
    <w:p>
      <w:pPr>
        <w:spacing w:after="0" w:line="307"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If Mr. Fadel’s employment had been terminated without “cause” or if Mr. Fadel had terminated his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for “good reason,” within the period beginning six months prior to a change in control or, if such change in control resulted in a person beneficially owning 40% or more of the voting power of the Company or is pursuant to a consolidation, merger or reorganization (subject to certain exceptions), beginning on the date of the definitive agreement</w:t>
      </w:r>
    </w:p>
    <w:p>
      <w:pPr>
        <w:spacing w:after="0" w:line="200" w:lineRule="exact"/>
        <w:rPr>
          <w:sz w:val="20"/>
          <w:szCs w:val="20"/>
          <w:color w:val="auto"/>
        </w:rPr>
      </w:pPr>
    </w:p>
    <w:p>
      <w:pPr>
        <w:spacing w:after="0" w:line="24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70"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pursuant to which the change in control is consummated and ending on the first anniversary of the date of the change in control, then Mr. Fadel would have been entitled to receive in a lump sum the same aggregate severance payments and benefits as described above for a termination not in connection with a change in control.</w:t>
      </w:r>
    </w:p>
    <w:p>
      <w:pPr>
        <w:spacing w:after="0" w:line="97"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Mr. Fadel is also subject to a Loyalty and Confidentiality Agreement which provides non-competition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non-solicitation provisions for the benefit of the Company that remain in effect during the period of employment and an additional period of two years thereafter.</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Arrangements with Respect to Long-Term Incentive Plans</w:t>
      </w:r>
    </w:p>
    <w:p>
      <w:pPr>
        <w:spacing w:after="0" w:line="162"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In 2025, following a review of the terms and conditions of restricted stock units and performance stock units granted by the Peer Group and with input provided by the Compensation Committee’s independent compensation consultant, the Compensation Committee determined to adjust the terms of the RSUs and PSUs to those described below.</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RSUs</w:t>
      </w:r>
    </w:p>
    <w:p>
      <w:pPr>
        <w:spacing w:after="0" w:line="162"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color w:val="auto"/>
        </w:rPr>
        <w:t>Pursuant to restricted stock unit award agreements under the 2021 Plan, if the award holder’s employment with us is terminated because of death or disability, then any unvested restricted stock units will fully vest on the date of such termination of employment. If the award holder’s employment with us is terminated (i) other than for Cause, (ii) for Good Reason (with each of Cause and Good Reason as defined in the award holder’s transition or employment agreement or the award agreement, as applicable) or (iii) due to Retirement (defined as attaining age 60 with at least five years of continuous service), then any unvested restricted stock units will vest on a pro-rata basis on the date of such termination of employment. Vesting in connection with termination of employment is subject to the award holder’s execution of a release of claims. In addition, upon the termination of the award holder’s employment or other service with us for any other reason (prior to a change of control), any unvested restricted stock units will thereupon terminate and be canceled.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PSUs</w:t>
      </w:r>
    </w:p>
    <w:p>
      <w:pPr>
        <w:spacing w:after="0" w:line="149" w:lineRule="exact"/>
        <w:rPr>
          <w:sz w:val="20"/>
          <w:szCs w:val="20"/>
          <w:color w:val="auto"/>
        </w:rPr>
      </w:pPr>
    </w:p>
    <w:p>
      <w:pPr>
        <w:jc w:val="both"/>
        <w:ind w:left="760"/>
        <w:spacing w:after="0" w:line="263" w:lineRule="auto"/>
        <w:rPr>
          <w:sz w:val="20"/>
          <w:szCs w:val="20"/>
          <w:color w:val="auto"/>
        </w:rPr>
      </w:pPr>
      <w:r>
        <w:rPr>
          <w:rFonts w:ascii="Arial" w:cs="Arial" w:eastAsia="Arial" w:hAnsi="Arial"/>
          <w:sz w:val="16"/>
          <w:szCs w:val="16"/>
          <w:color w:val="auto"/>
        </w:rPr>
        <w:t>Pursuant to performance stock unit award agreements under the 2021 Plan, if the award holder’s employment with us is terminated because of death or disability, then any unvested performance stock units will fully vest as of the date of termination at the greater of target level or actual attainment of performance objectives (as determined by the Compensation Committee). If the award holder’s employment with us is terminated (i) other than for Cause, (ii) for Good Reason (with each of Cause and Good Reason as defined in the award holder’s transition or employment agreement or the award agreement, as applicable) or</w:t>
      </w:r>
    </w:p>
    <w:p>
      <w:pPr>
        <w:spacing w:after="0" w:line="3" w:lineRule="exact"/>
        <w:rPr>
          <w:sz w:val="20"/>
          <w:szCs w:val="20"/>
          <w:color w:val="auto"/>
        </w:rPr>
      </w:pPr>
    </w:p>
    <w:p>
      <w:pPr>
        <w:jc w:val="both"/>
        <w:ind w:left="760" w:firstLine="2"/>
        <w:spacing w:after="0" w:line="261" w:lineRule="auto"/>
        <w:tabs>
          <w:tab w:leader="none" w:pos="10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due to Retirement (defined as attaining age 60 with at least five years of continuous service), then any unvested performance stock units will become vested on a pro-rata basis at the end of the performance period, subject to adjustment for the attainment of performance objectives through the last day of the performance period (as determined by the Compensation Committee). Vesting in connection with termination of employment is subject to the award holder’s execution of a release of claims. In addition, upon the termination of the award holder’s employment or other service with us for any other reason (prior to a change of control) any unvested performance stock units will thereupon terminate and be canceled.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Options</w:t>
      </w:r>
    </w:p>
    <w:p>
      <w:pPr>
        <w:spacing w:after="0" w:line="162"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Pursuant to stock option agreements under the 2021 Plan, if the award holder’s employment with us is terminated because of death or disability, any options that are vested and exercisable on the date of termination will remain exercisable for 12 months thereafter, but not beyond the term of the agreement. If the award holder’s employment is terminated by us for “cause,” then the options (whether or not then vested and exercisable) will immediately terminate and cease to be exercisable. If the award holder’s employment with us is terminated for any other reason, any options that are vested and exercisable as of the date of termination will remain exercisable for three months thereafter, but not beyond the term of the agreement.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“Double Trigger” Change-in-Control Provisions</w:t>
      </w:r>
    </w:p>
    <w:p>
      <w:pPr>
        <w:spacing w:after="0" w:line="162"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color w:val="auto"/>
        </w:rPr>
        <w:t>The 2021 Plan provides for double-trigger vesting of awards upon a qualifying termination in connection with a change in control. If an award holder’s employment or other service is terminated by the Company or any successor entity thereto without “cause” or by the award holder for “good reason” (as​ each such term is defined in the applicable award agreement or an award holder’s executive transition agreement or employment agreement, if applicable) upon or within two (2) years after a “change in control” ​(as defined in the 2021 Plan), (1) each award granted to such award holder prior to such change in control will become fully vested (including the lapsing of all restrictions and conditions) and, as applicable, exercisable as of the date of such termination of employment or other service, and (2) any shares deliverable pursuant to stock units will be delivered promptly (but no later than fifteen (15) days) following such termination.</w:t>
      </w:r>
    </w:p>
    <w:p>
      <w:pPr>
        <w:spacing w:after="0" w:line="200" w:lineRule="exact"/>
        <w:rPr>
          <w:sz w:val="20"/>
          <w:szCs w:val="20"/>
          <w:color w:val="auto"/>
        </w:rPr>
      </w:pPr>
    </w:p>
    <w:p>
      <w:pPr>
        <w:spacing w:after="0" w:line="25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42</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As of the change in control date, any outstanding performance-based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clause (1) in the paragraph above.</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Under the 2021 Plan, a “change in control” means the occurrence of any of the following:</w:t>
      </w:r>
    </w:p>
    <w:p>
      <w:pPr>
        <w:spacing w:after="0" w:line="154" w:lineRule="exact"/>
        <w:rPr>
          <w:sz w:val="20"/>
          <w:szCs w:val="20"/>
          <w:color w:val="auto"/>
        </w:rPr>
      </w:pPr>
    </w:p>
    <w:p>
      <w:pPr>
        <w:jc w:val="both"/>
        <w:ind w:left="1120" w:right="40" w:hanging="358"/>
        <w:spacing w:after="0" w:line="264" w:lineRule="auto"/>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“person” (as​ that term is used in Sections 13(d) and 14(d)(2) of the Exchange Act), is or becomes the beneficial owner (as defined in Rule 13d-3 under the Exchange Act), directly or indirectly, of securities representing 30% or more of the combined voting power of the then outstanding securities of the Company eligible to vote for the election of the members of the Board (the “Company Voting Securities”), unless (A) such person is the Company, (B) such person is an employee benefit plan (or a trust which is a part of such a plan) which provides benefits exclusively to, or on behalf of, employees or former employees of the Company, (C) such person is the award holder, an entity controlled by the award holder or a group which includes the award holder, or (D) such person acquired such securities in a Non-Qualifying Transaction (as defined in clause (iv) below);</w:t>
      </w:r>
    </w:p>
    <w:p>
      <w:pPr>
        <w:spacing w:after="0" w:line="122" w:lineRule="exact"/>
        <w:rPr>
          <w:rFonts w:ascii="Arial" w:cs="Arial" w:eastAsia="Arial" w:hAnsi="Arial"/>
          <w:sz w:val="16"/>
          <w:szCs w:val="16"/>
          <w:color w:val="auto"/>
        </w:rPr>
      </w:pPr>
    </w:p>
    <w:p>
      <w:pPr>
        <w:jc w:val="both"/>
        <w:ind w:left="1120" w:right="40" w:hanging="358"/>
        <w:spacing w:after="0" w:line="262" w:lineRule="auto"/>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any period of not more than twelve (12) months, individuals who constitute the Board as of the beginning of the period (the “Incumbent Directors”)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Company’s proxy statement in which such person is named as a nominee for director, without written objection to such nomination) will be an Incumbent Director; provided, however,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122" w:lineRule="exact"/>
        <w:rPr>
          <w:rFonts w:ascii="Arial" w:cs="Arial" w:eastAsia="Arial" w:hAnsi="Arial"/>
          <w:sz w:val="16"/>
          <w:szCs w:val="16"/>
          <w:color w:val="auto"/>
        </w:rPr>
      </w:pPr>
    </w:p>
    <w:p>
      <w:pPr>
        <w:ind w:left="1120" w:right="40" w:hanging="358"/>
        <w:spacing w:after="0" w:line="286" w:lineRule="auto"/>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dissolution or liquidation of the Company or any sale or the disposition of all or substantially all of the assets or business of the Company; or</w:t>
      </w:r>
    </w:p>
    <w:p>
      <w:pPr>
        <w:spacing w:after="0" w:line="101" w:lineRule="exact"/>
        <w:rPr>
          <w:rFonts w:ascii="Arial" w:cs="Arial" w:eastAsia="Arial" w:hAnsi="Arial"/>
          <w:sz w:val="16"/>
          <w:szCs w:val="16"/>
          <w:color w:val="auto"/>
        </w:rPr>
      </w:pPr>
    </w:p>
    <w:p>
      <w:pPr>
        <w:jc w:val="both"/>
        <w:ind w:left="1120" w:right="40" w:hanging="358"/>
        <w:spacing w:after="0" w:line="263" w:lineRule="auto"/>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consummation of any reorganization, merger, consolidation or share exchange or similar form of corporate transaction involving the Company (a “Business Combination”), unless immediately following such Business Combination: (A) more than 50% of the total voting power of  (x) the entity resulting from such Business Combination (the “Surviving Entity”), or</w:t>
      </w:r>
    </w:p>
    <w:p>
      <w:pPr>
        <w:spacing w:after="0" w:line="1" w:lineRule="exact"/>
        <w:rPr>
          <w:rFonts w:ascii="Arial" w:cs="Arial" w:eastAsia="Arial" w:hAnsi="Arial"/>
          <w:sz w:val="16"/>
          <w:szCs w:val="16"/>
          <w:color w:val="auto"/>
        </w:rPr>
      </w:pPr>
    </w:p>
    <w:p>
      <w:pPr>
        <w:jc w:val="both"/>
        <w:ind w:left="1120" w:right="40" w:firstLine="2"/>
        <w:spacing w:after="0" w:line="260" w:lineRule="auto"/>
        <w:tabs>
          <w:tab w:leader="none" w:pos="1371"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clause (iv) will be deemed to be a “Non-Qualifying Transaction”).</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Policies and Risk Mitigation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Compensation-Related Risk</w:t>
      </w:r>
    </w:p>
    <w:p>
      <w:pPr>
        <w:spacing w:after="0" w:line="162"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The Compensation Committee believes that the design of our compensation programs, including our executive compensation program, does not encourage our executives or employees to take unnecessary and excessive risks and that the risks arising from these programs are not reasonably likely to have a material adverse effect on us. The Compensation Committee considered the following factors in making that determination:</w:t>
      </w:r>
    </w:p>
    <w:p>
      <w:pPr>
        <w:spacing w:after="0" w:line="73" w:lineRule="exact"/>
        <w:rPr>
          <w:sz w:val="20"/>
          <w:szCs w:val="20"/>
          <w:color w:val="auto"/>
        </w:rPr>
      </w:pPr>
    </w:p>
    <w:p>
      <w:pPr>
        <w:ind w:left="940" w:right="60" w:hanging="178"/>
        <w:spacing w:after="0" w:line="286" w:lineRule="auto"/>
        <w:tabs>
          <w:tab w:leader="none" w:pos="9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allocation among the components of direct annual compensation provides an appropriate balance between annual and long-term incentives and between fixed and performance-based compensation.</w:t>
      </w:r>
    </w:p>
    <w:p>
      <w:pPr>
        <w:spacing w:after="0" w:line="61"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performance measures and the multi-year vesting features of the long-term equity incentive compensation component encourage participants to seek sustainable growth and value creation.</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70" w:lineRule="exact"/>
        <w:rPr>
          <w:sz w:val="20"/>
          <w:szCs w:val="20"/>
          <w:color w:val="auto"/>
        </w:rPr>
      </w:pPr>
    </w:p>
    <w:p>
      <w:pPr>
        <w:ind w:left="940" w:hanging="178"/>
        <w:spacing w:after="0" w:line="286" w:lineRule="auto"/>
        <w:tabs>
          <w:tab w:leader="none" w:pos="9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Inclusion of share-based compensation through the long-term equity incentive compensation component encourages appropriate decision-making that is aligned with the long-term interests of our stockholders.</w:t>
      </w:r>
    </w:p>
    <w:p>
      <w:pPr>
        <w:spacing w:after="0" w:line="74" w:lineRule="exact"/>
        <w:rPr>
          <w:rFonts w:ascii="Arial" w:cs="Arial" w:eastAsia="Arial" w:hAnsi="Arial"/>
          <w:sz w:val="16"/>
          <w:szCs w:val="16"/>
          <w:color w:val="auto"/>
        </w:rPr>
      </w:pPr>
    </w:p>
    <w:p>
      <w:pPr>
        <w:jc w:val="both"/>
        <w:ind w:left="940" w:hanging="178"/>
        <w:spacing w:after="0" w:line="271" w:lineRule="auto"/>
        <w:tabs>
          <w:tab w:leader="none" w:pos="9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annual cash incentive program and the awards of restricted stock with performance-based vesting contain provisions with respect to our achievement of the applicable performance target such that each participant may receive either (1) an additional payout pursuant to such award in the event that we exceed the applicable performance target, or (2) none or only a portion of the target payout pursuant to such award in the event that we approach, yet fail to achieve, the target level of performance.</w:t>
      </w:r>
    </w:p>
    <w:p>
      <w:pPr>
        <w:spacing w:after="0" w:line="275" w:lineRule="exact"/>
        <w:rPr>
          <w:rFonts w:ascii="Arial" w:cs="Arial" w:eastAsia="Arial" w:hAnsi="Arial"/>
          <w:sz w:val="16"/>
          <w:szCs w:val="16"/>
          <w:color w:val="auto"/>
        </w:rPr>
      </w:pPr>
    </w:p>
    <w:p>
      <w:pPr>
        <w:jc w:val="both"/>
        <w:ind w:left="940" w:right="20" w:hanging="178"/>
        <w:spacing w:after="0" w:line="275" w:lineRule="auto"/>
        <w:tabs>
          <w:tab w:leader="none" w:pos="9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various governance policies we have adopted to align the interests of our top management with those of our stockholders and to motivate sustainable growth, including equity ownership guidelines, hedging and pledging restrictions and our clawback policy, as described below.</w:t>
      </w:r>
    </w:p>
    <w:p>
      <w:pPr>
        <w:spacing w:after="0" w:line="83" w:lineRule="exact"/>
        <w:rPr>
          <w:rFonts w:ascii="Arial" w:cs="Arial" w:eastAsia="Arial" w:hAnsi="Arial"/>
          <w:sz w:val="16"/>
          <w:szCs w:val="16"/>
          <w:color w:val="auto"/>
        </w:rPr>
      </w:pPr>
    </w:p>
    <w:p>
      <w:pPr>
        <w:ind w:left="940" w:hanging="178"/>
        <w:spacing w:after="0"/>
        <w:tabs>
          <w:tab w:leader="none" w:pos="9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maintain a values-driven, ethics-based culture supported by a strong tone at the top.</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Equity Ownership Guidelines</w:t>
      </w:r>
    </w:p>
    <w:p>
      <w:pPr>
        <w:spacing w:after="0" w:line="162" w:lineRule="exact"/>
        <w:rPr>
          <w:sz w:val="20"/>
          <w:szCs w:val="20"/>
          <w:color w:val="auto"/>
        </w:rPr>
      </w:pPr>
    </w:p>
    <w:p>
      <w:pPr>
        <w:jc w:val="both"/>
        <w:ind w:left="760"/>
        <w:spacing w:after="0" w:line="276" w:lineRule="auto"/>
        <w:rPr>
          <w:sz w:val="20"/>
          <w:szCs w:val="20"/>
          <w:color w:val="auto"/>
        </w:rPr>
      </w:pPr>
      <w:r>
        <w:rPr>
          <w:rFonts w:ascii="Arial" w:cs="Arial" w:eastAsia="Arial" w:hAnsi="Arial"/>
          <w:sz w:val="16"/>
          <w:szCs w:val="16"/>
          <w:color w:val="auto"/>
        </w:rPr>
        <w:t>We believe that our Chief Executive Officer, executive vice presidents, senior vice presidents and vice presidents should have a meaningful financial stake in the Company to ensure that their interests are aligned with those of our stockholders. To that end, in December 2020, the Board adopted equity ownership guidelines to define our expectations for our Chief Executive Officer, executive vice presidents, senior vice presidents and vice presidents. Under these guidelines, our Chief Executive Officer, executive vice presidents, senior vice presidents and vice presidents are expected to own shares of our common stock having a value equal to a designated multiple of such executive’s annual base salary within five years after the date on which such executive was appointed to such executive’s position.</w:t>
      </w:r>
    </w:p>
    <w:p>
      <w:pPr>
        <w:spacing w:after="0" w:line="147"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840" w:type="dxa"/>
            <w:vAlign w:val="bottom"/>
            <w:tcBorders>
              <w:top w:val="single" w:sz="8" w:color="auto"/>
              <w:left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w:t>
            </w:r>
          </w:p>
        </w:tc>
        <w:tc>
          <w:tcPr>
            <w:tcW w:w="2920" w:type="dxa"/>
            <w:vAlign w:val="bottom"/>
            <w:tcBorders>
              <w:top w:val="single" w:sz="8" w:color="auto"/>
              <w:bottom w:val="single" w:sz="8" w:color="auto"/>
            </w:tcBorders>
            <w:shd w:val="clear" w:color="auto" w:fill="E5E5E5"/>
          </w:tcPr>
          <w:p>
            <w:pPr>
              <w:ind w:left="740"/>
              <w:spacing w:after="0"/>
              <w:rPr>
                <w:sz w:val="20"/>
                <w:szCs w:val="20"/>
                <w:color w:val="auto"/>
              </w:rPr>
            </w:pPr>
            <w:r>
              <w:rPr>
                <w:rFonts w:ascii="Arial" w:cs="Arial" w:eastAsia="Arial" w:hAnsi="Arial"/>
                <w:sz w:val="15"/>
                <w:szCs w:val="15"/>
                <w:b w:val="1"/>
                <w:bCs w:val="1"/>
                <w:color w:val="auto"/>
              </w:rPr>
              <w:t>Executive Positions</w:t>
            </w:r>
          </w:p>
        </w:tc>
        <w:tc>
          <w:tcPr>
            <w:tcW w:w="840" w:type="dxa"/>
            <w:vAlign w:val="bottom"/>
            <w:tcBorders>
              <w:top w:val="single" w:sz="8" w:color="auto"/>
              <w:bottom w:val="single" w:sz="8" w:color="auto"/>
              <w:right w:val="single" w:sz="8" w:color="auto"/>
            </w:tcBorders>
            <w:shd w:val="clear" w:color="auto" w:fill="E5E5E5"/>
          </w:tcPr>
          <w:p>
            <w:pPr>
              <w:ind w:left="78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bottom w:val="single" w:sz="8" w:color="auto"/>
            </w:tcBorders>
            <w:shd w:val="clear" w:color="auto" w:fill="E5E5E5"/>
          </w:tcPr>
          <w:p>
            <w:pPr>
              <w:ind w:left="40"/>
              <w:spacing w:after="0"/>
              <w:rPr>
                <w:sz w:val="20"/>
                <w:szCs w:val="20"/>
                <w:color w:val="auto"/>
              </w:rPr>
            </w:pPr>
            <w:r>
              <w:rPr>
                <w:rFonts w:ascii="Arial" w:cs="Arial" w:eastAsia="Arial" w:hAnsi="Arial"/>
                <w:sz w:val="15"/>
                <w:szCs w:val="15"/>
                <w:b w:val="1"/>
                <w:bCs w:val="1"/>
                <w:color w:val="auto"/>
              </w:rPr>
              <w:t>​</w:t>
            </w:r>
          </w:p>
        </w:tc>
        <w:tc>
          <w:tcPr>
            <w:tcW w:w="3080" w:type="dxa"/>
            <w:vAlign w:val="bottom"/>
            <w:tcBorders>
              <w:top w:val="single" w:sz="8" w:color="auto"/>
              <w:bottom w:val="single" w:sz="8" w:color="auto"/>
            </w:tcBorders>
            <w:shd w:val="clear" w:color="auto" w:fill="E5E5E5"/>
          </w:tcPr>
          <w:p>
            <w:pPr>
              <w:ind w:left="660"/>
              <w:spacing w:after="0"/>
              <w:rPr>
                <w:sz w:val="20"/>
                <w:szCs w:val="20"/>
                <w:color w:val="auto"/>
              </w:rPr>
            </w:pPr>
            <w:r>
              <w:rPr>
                <w:rFonts w:ascii="Arial" w:cs="Arial" w:eastAsia="Arial" w:hAnsi="Arial"/>
                <w:sz w:val="15"/>
                <w:szCs w:val="15"/>
                <w:b w:val="1"/>
                <w:bCs w:val="1"/>
                <w:color w:val="auto"/>
              </w:rPr>
              <w:t>Ownership Requirement</w:t>
            </w:r>
          </w:p>
        </w:tc>
        <w:tc>
          <w:tcPr>
            <w:tcW w:w="780" w:type="dxa"/>
            <w:vAlign w:val="bottom"/>
            <w:tcBorders>
              <w:top w:val="single" w:sz="8" w:color="auto"/>
              <w:bottom w:val="single" w:sz="8" w:color="auto"/>
              <w:right w:val="single" w:sz="8" w:color="auto"/>
            </w:tcBorders>
            <w:shd w:val="clear" w:color="auto" w:fill="E5E5E5"/>
          </w:tcPr>
          <w:p>
            <w:pPr>
              <w:ind w:left="700"/>
              <w:spacing w:after="0"/>
              <w:rPr>
                <w:sz w:val="20"/>
                <w:szCs w:val="20"/>
                <w:color w:val="auto"/>
              </w:rPr>
            </w:pPr>
            <w:r>
              <w:rPr>
                <w:rFonts w:ascii="Arial" w:cs="Arial" w:eastAsia="Arial" w:hAnsi="Arial"/>
                <w:sz w:val="15"/>
                <w:szCs w:val="15"/>
                <w:b w:val="1"/>
                <w:bCs w:val="1"/>
                <w:color w:val="auto"/>
              </w:rPr>
              <w:t>​</w:t>
            </w:r>
          </w:p>
        </w:tc>
      </w:tr>
      <w:tr>
        <w:trPr>
          <w:trHeight w:val="223"/>
        </w:trPr>
        <w:tc>
          <w:tcPr>
            <w:tcW w:w="3760" w:type="dxa"/>
            <w:vAlign w:val="bottom"/>
            <w:tcBorders>
              <w:left w:val="single" w:sz="8" w:color="auto"/>
              <w:bottom w:val="single" w:sz="8" w:color="auto"/>
            </w:tcBorders>
            <w:gridSpan w:val="2"/>
          </w:tcPr>
          <w:p>
            <w:pPr>
              <w:ind w:left="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Chief Executive Officer</w:t>
            </w:r>
          </w:p>
        </w:tc>
        <w:tc>
          <w:tcPr>
            <w:tcW w:w="8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382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Five times annual base salary</w:t>
            </w:r>
          </w:p>
        </w:tc>
        <w:tc>
          <w:tcPr>
            <w:tcW w:w="78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5"/>
                <w:szCs w:val="15"/>
                <w:color w:val="auto"/>
              </w:rPr>
              <w:t>​</w:t>
            </w:r>
          </w:p>
        </w:tc>
      </w:tr>
      <w:tr>
        <w:trPr>
          <w:trHeight w:val="277"/>
        </w:trPr>
        <w:tc>
          <w:tcPr>
            <w:tcW w:w="3760" w:type="dxa"/>
            <w:vAlign w:val="bottom"/>
            <w:tcBorders>
              <w:left w:val="single" w:sz="8" w:color="auto"/>
              <w:bottom w:val="single" w:sz="8" w:color="auto"/>
            </w:tcBorders>
            <w:gridSpan w:val="2"/>
          </w:tcPr>
          <w:p>
            <w:pPr>
              <w:ind w:left="2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 xml:space="preserve"> Executive Vice President</w:t>
            </w:r>
          </w:p>
        </w:tc>
        <w:tc>
          <w:tcPr>
            <w:tcW w:w="8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3820" w:type="dxa"/>
            <w:vAlign w:val="bottom"/>
            <w:tcBorders>
              <w:bottom w:val="single" w:sz="8" w:color="auto"/>
            </w:tcBorders>
            <w:gridSpan w:val="2"/>
          </w:tcPr>
          <w:p>
            <w:pPr>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 xml:space="preserve"> Two to three times annual base salary</w:t>
            </w:r>
            <w:r>
              <w:rPr>
                <w:rFonts w:ascii="Arial" w:cs="Arial" w:eastAsia="Arial" w:hAnsi="Arial"/>
                <w:sz w:val="19"/>
                <w:szCs w:val="19"/>
                <w:color w:val="auto"/>
                <w:vertAlign w:val="superscript"/>
              </w:rPr>
              <w:t>(1)</w:t>
            </w:r>
          </w:p>
        </w:tc>
        <w:tc>
          <w:tcPr>
            <w:tcW w:w="78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5"/>
                <w:szCs w:val="15"/>
                <w:color w:val="auto"/>
              </w:rPr>
              <w:t>​</w:t>
            </w:r>
          </w:p>
        </w:tc>
      </w:tr>
    </w:tbl>
    <w:p>
      <w:pPr>
        <w:spacing w:after="0" w:line="47" w:lineRule="exact"/>
        <w:rPr>
          <w:sz w:val="20"/>
          <w:szCs w:val="20"/>
          <w:color w:val="auto"/>
        </w:rPr>
      </w:pPr>
    </w:p>
    <w:p>
      <w:pPr>
        <w:ind w:left="1120" w:right="20" w:hanging="358"/>
        <w:spacing w:after="0" w:line="322" w:lineRule="auto"/>
        <w:tabs>
          <w:tab w:leader="none" w:pos="112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The higher ownership requirement applies to our named executive officers who are Executive Vice Presidents with annual long-term incentive award targets of 170% of base salary.</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our common stock that count toward meeting the foregoing equity ownership requirements include:</w:t>
      </w:r>
    </w:p>
    <w:p>
      <w:pPr>
        <w:spacing w:after="0" w:line="127" w:lineRule="exact"/>
        <w:rPr>
          <w:sz w:val="20"/>
          <w:szCs w:val="20"/>
          <w:color w:val="auto"/>
        </w:rPr>
      </w:pPr>
    </w:p>
    <w:p>
      <w:pPr>
        <w:ind w:left="940" w:hanging="178"/>
        <w:spacing w:after="0" w:line="304" w:lineRule="auto"/>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of our common stock directly or indirectly beneficially owned outright, including as a result of fully vested awards from previous grants to the executive by the Company;</w:t>
      </w:r>
    </w:p>
    <w:p>
      <w:pPr>
        <w:spacing w:after="0" w:line="46" w:lineRule="exact"/>
        <w:rPr>
          <w:rFonts w:ascii="Arial" w:cs="Arial" w:eastAsia="Arial" w:hAnsi="Arial"/>
          <w:sz w:val="16"/>
          <w:szCs w:val="16"/>
          <w:color w:val="auto"/>
        </w:rPr>
      </w:pPr>
    </w:p>
    <w:p>
      <w:pPr>
        <w:ind w:left="940" w:right="20" w:hanging="178"/>
        <w:spacing w:after="0" w:line="304" w:lineRule="auto"/>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of our common stock held through any Company benefit plan, including the Company’s 401(k) plan, Non-Qualified Deferred Compensation Plan or any employee stock purchase plan; and</w:t>
      </w:r>
    </w:p>
    <w:p>
      <w:pPr>
        <w:spacing w:after="0" w:line="46" w:lineRule="exact"/>
        <w:rPr>
          <w:rFonts w:ascii="Arial" w:cs="Arial" w:eastAsia="Arial" w:hAnsi="Arial"/>
          <w:sz w:val="16"/>
          <w:szCs w:val="16"/>
          <w:color w:val="auto"/>
        </w:rPr>
      </w:pPr>
    </w:p>
    <w:p>
      <w:pPr>
        <w:ind w:left="940" w:hanging="178"/>
        <w:spacing w:after="0"/>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unvested time-based restricted stock awards or restricted stock units granted to the executive by the Company.</w:t>
      </w:r>
    </w:p>
    <w:p>
      <w:pPr>
        <w:spacing w:after="0" w:line="154" w:lineRule="exact"/>
        <w:rPr>
          <w:sz w:val="20"/>
          <w:szCs w:val="20"/>
          <w:color w:val="auto"/>
        </w:rPr>
      </w:pPr>
    </w:p>
    <w:p>
      <w:pPr>
        <w:ind w:left="760"/>
        <w:spacing w:after="0" w:line="304" w:lineRule="auto"/>
        <w:rPr>
          <w:sz w:val="20"/>
          <w:szCs w:val="20"/>
          <w:color w:val="auto"/>
        </w:rPr>
      </w:pPr>
      <w:r>
        <w:rPr>
          <w:rFonts w:ascii="Arial" w:cs="Arial" w:eastAsia="Arial" w:hAnsi="Arial"/>
          <w:sz w:val="16"/>
          <w:szCs w:val="16"/>
          <w:color w:val="auto"/>
        </w:rPr>
        <w:t>Neither (i) unvested performance-based stock awards or performance stock units, nor (ii) unexercised stock options (whether vested or unvested) count toward meeting the equity ownership requirements.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the record date, our named executive officers were in compliance with the applicable stock ownership guideline.</w:t>
      </w:r>
    </w:p>
    <w:p>
      <w:pPr>
        <w:spacing w:after="0" w:line="2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Hedging and Pledging Restrictions</w:t>
      </w:r>
    </w:p>
    <w:p>
      <w:pPr>
        <w:spacing w:after="0" w:line="149"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color w:val="auto"/>
        </w:rPr>
        <w:t>Our insider trading policy prohibits our directors, officers and employees, and members of their households, certain of their family members and certain other natural or legal persons or entities (i) whose management responsibilities are discharged by,</w:t>
      </w:r>
    </w:p>
    <w:p>
      <w:pPr>
        <w:spacing w:after="0" w:line="1" w:lineRule="exact"/>
        <w:rPr>
          <w:sz w:val="20"/>
          <w:szCs w:val="20"/>
          <w:color w:val="auto"/>
        </w:rPr>
      </w:pPr>
    </w:p>
    <w:p>
      <w:pPr>
        <w:jc w:val="both"/>
        <w:ind w:left="760" w:firstLine="2"/>
        <w:spacing w:after="0" w:line="274" w:lineRule="auto"/>
        <w:tabs>
          <w:tab w:leader="none" w:pos="9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who are directly or indirectly controlled by or (iii) whose economic interests are substantially equivalent to those of any of the foregoing persons, from engaging in hedging, monetization or options transactions related to our securities or transactions involving any derivative security of the Company or other financial instruments that provide the economic equivalent of ownership of our common stock or an opportunity, whether direct or indirect, to profit from any change in the value of our common stock, such as prepaid variable forward contracts, puts, calls, equity swaps, credit default swaps and collars.</w:t>
      </w:r>
    </w:p>
    <w:p>
      <w:pPr>
        <w:spacing w:after="0" w:line="112" w:lineRule="exact"/>
        <w:rPr>
          <w:sz w:val="20"/>
          <w:szCs w:val="20"/>
          <w:color w:val="auto"/>
        </w:rPr>
      </w:pPr>
    </w:p>
    <w:p>
      <w:pPr>
        <w:jc w:val="both"/>
        <w:ind w:left="760"/>
        <w:spacing w:after="0" w:line="288" w:lineRule="auto"/>
        <w:rPr>
          <w:sz w:val="20"/>
          <w:szCs w:val="20"/>
          <w:color w:val="auto"/>
        </w:rPr>
      </w:pPr>
      <w:r>
        <w:rPr>
          <w:rFonts w:ascii="Arial" w:cs="Arial" w:eastAsia="Arial" w:hAnsi="Arial"/>
          <w:sz w:val="16"/>
          <w:szCs w:val="16"/>
          <w:color w:val="auto"/>
        </w:rPr>
        <w:t>In addition, our insider trading policy prohibits (i) short sales of any securities of the Company, including through any “sale against the box” ​(sales with delayed delivery) and (ii) the holding of securities of the Company in a margin account or pledging securities of the Company as collateral for a loan, in each case unless they are treated as non-marginable by the brokerage firm.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44</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Clawback Policy</w:t>
      </w:r>
    </w:p>
    <w:p>
      <w:pPr>
        <w:spacing w:after="0" w:line="149" w:lineRule="exact"/>
        <w:rPr>
          <w:sz w:val="20"/>
          <w:szCs w:val="20"/>
          <w:color w:val="auto"/>
        </w:rPr>
      </w:pPr>
    </w:p>
    <w:p>
      <w:pPr>
        <w:jc w:val="both"/>
        <w:ind w:left="760" w:right="40"/>
        <w:spacing w:after="0" w:line="269" w:lineRule="auto"/>
        <w:rPr>
          <w:sz w:val="20"/>
          <w:szCs w:val="20"/>
          <w:color w:val="auto"/>
        </w:rPr>
      </w:pPr>
      <w:r>
        <w:rPr>
          <w:rFonts w:ascii="Arial" w:cs="Arial" w:eastAsia="Arial" w:hAnsi="Arial"/>
          <w:sz w:val="16"/>
          <w:szCs w:val="16"/>
          <w:color w:val="auto"/>
        </w:rPr>
        <w:t>In accordance with the rules adopted by the SEC and Nasdaq, our Board has adopted an amended clawback policy effective as of December 1, 2023 that requires the Company to recover any compensation that is granted, earned or vested based wholly or in part upon the attainment of any financial reporting measure in the event that the Company is required to prepare a financial restatement to correct a material error. The clawback policy does not apply to compensation that is granted, earned or vested wholly upon continued service to the Company.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Messrs. Marino and Lewis and Ms. Langenstein each served as members of the Compensation Committee for all of 2025. Each such member is independent, and no member of the Compensation Committee (1) has ever been employed by us, as an officer or otherwise, or (2) has or had any relationships requiring disclosure in this proxy statement pursuant to Item 404(a) of Regulation S-K.</w:t>
      </w:r>
    </w:p>
    <w:p>
      <w:pPr>
        <w:spacing w:after="0" w:line="100" w:lineRule="exact"/>
        <w:rPr>
          <w:sz w:val="20"/>
          <w:szCs w:val="20"/>
          <w:color w:val="auto"/>
        </w:rPr>
      </w:pPr>
    </w:p>
    <w:p>
      <w:pPr>
        <w:jc w:val="both"/>
        <w:ind w:left="760" w:right="60"/>
        <w:spacing w:after="0" w:line="284" w:lineRule="auto"/>
        <w:rPr>
          <w:sz w:val="20"/>
          <w:szCs w:val="20"/>
          <w:color w:val="auto"/>
        </w:rPr>
      </w:pPr>
      <w:r>
        <w:rPr>
          <w:rFonts w:ascii="Arial" w:cs="Arial" w:eastAsia="Arial" w:hAnsi="Arial"/>
          <w:sz w:val="16"/>
          <w:szCs w:val="16"/>
          <w:color w:val="auto"/>
        </w:rPr>
        <w:t>In addition, during 2025, none of our executive officers served as a member of the compensation or similar committee or as a member of the board of directors of any other entity having an executive officer that also served on the Compensation Committee or Board of Upbound.</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Section 162(m)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68" w:lineRule="auto"/>
        <w:rPr>
          <w:sz w:val="20"/>
          <w:szCs w:val="20"/>
          <w:color w:val="auto"/>
        </w:rPr>
      </w:pPr>
      <w:r>
        <w:rPr>
          <w:rFonts w:ascii="Arial" w:cs="Arial" w:eastAsia="Arial" w:hAnsi="Arial"/>
          <w:sz w:val="16"/>
          <w:szCs w:val="16"/>
          <w:color w:val="auto"/>
        </w:rPr>
        <w:t>Section 162(m) of the Code generally prohibits a federal income tax deduction to public companies for compensation over $1,000,000 paid to a “covered employee.” A “covered employee” includes (a) the Chief Executive Officer, (b) the Chief Financial Officer, (c) the three other most highly compensated executive officers, and (d) any individual who was a covered employee for any taxable year beginning after December 31, 2016. The Compensation Committee is not limited to paying compensation that is fully deductible and may determine it is appropriate to provide compensation that may exceed deductibility limits in order to recognize performance, meet market demands, retain key executives, and take into account other appropriate considerations.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58" w:lineRule="exact"/>
        <w:rPr>
          <w:sz w:val="20"/>
          <w:szCs w:val="20"/>
          <w:color w:val="auto"/>
        </w:rPr>
      </w:pPr>
    </w:p>
    <w:p>
      <w:pPr>
        <w:jc w:val="both"/>
        <w:ind w:left="760" w:right="40"/>
        <w:spacing w:after="0" w:line="274" w:lineRule="auto"/>
        <w:rPr>
          <w:sz w:val="20"/>
          <w:szCs w:val="20"/>
          <w:color w:val="auto"/>
        </w:rPr>
      </w:pPr>
      <w:r>
        <w:rPr>
          <w:rFonts w:ascii="Arial" w:cs="Arial" w:eastAsia="Arial" w:hAnsi="Arial"/>
          <w:sz w:val="16"/>
          <w:szCs w:val="16"/>
          <w:i w:val="1"/>
          <w:iCs w:val="1"/>
          <w:color w:val="auto"/>
        </w:rPr>
        <w:t>The material in this Report is not “soliciting material”, is not deemed “filed” with the SEC and is not to be incorporated by reference into any filing under the Securities Act or the Exchange Act, whether made before or after the date hereof and irrespective of any general incorporation by reference language in such filing.</w:t>
      </w:r>
    </w:p>
    <w:p>
      <w:pPr>
        <w:spacing w:after="0" w:line="97"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The Compensation Committee has reviewed and discussed the Compensation Discussion and Analysis required by Item 402(b) of Regulation S-K with our management and, based upon such review and discussions, the Compensation Committee recommended to the Board that the Compensation Discussion and Analysis be included in the proxy statement on Schedule 14A related to the 2026 Annual Meeting, for filing with the SEC.</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COMPENSATION COMMITTEE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Glenn Marino, Chairman</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Molly Langenstein</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Harold Lewis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39"/>
        <w:spacing w:after="0"/>
        <w:rPr>
          <w:sz w:val="20"/>
          <w:szCs w:val="20"/>
          <w:color w:val="auto"/>
        </w:rPr>
      </w:pPr>
      <w:r>
        <w:rPr>
          <w:rFonts w:ascii="Arial" w:cs="Arial" w:eastAsia="Arial" w:hAnsi="Arial"/>
          <w:sz w:val="40"/>
          <w:szCs w:val="40"/>
          <w:b w:val="1"/>
          <w:bCs w:val="1"/>
          <w:color w:val="auto"/>
        </w:rPr>
        <w:t>COMPENSATION TABLES</w:t>
      </w:r>
    </w:p>
    <w:p>
      <w:pPr>
        <w:spacing w:after="0" w:line="140"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The following compensation tables in this proxy statement have been prepared pursuant to SEC rules. Although some amounts (e.g., salary, bonus and non-equity incentive plan compensation) represent actual dollars paid to a named executive officer, other amounts are estimates based on certain assumptions about future circumstances (e.g., payments upon termination of a named executive officer’s employment) or may represent dollar amounts recognized for financial statement reporting purposes in accordance with accounting rules, but do not represent actual dollars received by the named executive officer (e.g., dollar values of stock awards and option awards). The footnotes and other explanations to the Summary Compensation table and the other tables herein contain important estimates, assumptions and other information regarding the amounts set forth in the tables and should be considered together with the quantitative information in the tables.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The following table summarizes the compensation earned by our named executive officers in fiscal year 2025, as well as the compensation earned by such individuals in each of fiscal year 2024 and fiscal year 2023, if serving as a named executive officer during that time.</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gridSpan w:val="2"/>
            <w:vMerge w:val="restart"/>
          </w:tcPr>
          <w:p>
            <w:pPr>
              <w:jc w:val="right"/>
              <w:ind w:right="153"/>
              <w:spacing w:after="0"/>
              <w:rPr>
                <w:sz w:val="20"/>
                <w:szCs w:val="20"/>
                <w:color w:val="auto"/>
              </w:rPr>
            </w:pPr>
            <w:r>
              <w:rPr>
                <w:rFonts w:ascii="Arial" w:cs="Arial" w:eastAsia="Arial" w:hAnsi="Arial"/>
                <w:sz w:val="14"/>
                <w:szCs w:val="14"/>
                <w:b w:val="1"/>
                <w:bCs w:val="1"/>
                <w:color w:val="auto"/>
              </w:rPr>
              <w:t>Stock  Option</w:t>
            </w:r>
          </w:p>
        </w:tc>
        <w:tc>
          <w:tcPr>
            <w:tcW w:w="134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Non-Equity</w:t>
            </w: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4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2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Pr>
          <w:p>
            <w:pPr>
              <w:spacing w:after="0"/>
              <w:rPr>
                <w:sz w:val="18"/>
                <w:szCs w:val="18"/>
                <w:color w:val="auto"/>
              </w:rPr>
            </w:pPr>
          </w:p>
        </w:tc>
        <w:tc>
          <w:tcPr>
            <w:tcW w:w="600" w:type="dxa"/>
            <w:vAlign w:val="bottom"/>
          </w:tcPr>
          <w:p>
            <w:pPr>
              <w:jc w:val="right"/>
              <w:ind w:right="33"/>
              <w:spacing w:after="0" w:line="21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4"/>
                <w:szCs w:val="24"/>
                <w:b w:val="1"/>
                <w:bCs w:val="1"/>
                <w:color w:val="auto"/>
                <w:vertAlign w:val="superscript"/>
              </w:rPr>
              <w:t>Year</w:t>
            </w:r>
            <w:r>
              <w:rPr>
                <w:rFonts w:ascii="Arial" w:cs="Arial" w:eastAsia="Arial" w:hAnsi="Arial"/>
                <w:sz w:val="13"/>
                <w:szCs w:val="13"/>
                <w:b w:val="1"/>
                <w:bCs w:val="1"/>
                <w:color w:val="auto"/>
              </w:rPr>
              <w:t xml:space="preserve"> ​​</w:t>
            </w:r>
          </w:p>
        </w:tc>
        <w:tc>
          <w:tcPr>
            <w:tcW w:w="940" w:type="dxa"/>
            <w:vAlign w:val="bottom"/>
          </w:tcPr>
          <w:p>
            <w:pPr>
              <w:jc w:val="right"/>
              <w:ind w:right="53"/>
              <w:spacing w:after="0" w:line="212" w:lineRule="exact"/>
              <w:rPr>
                <w:sz w:val="20"/>
                <w:szCs w:val="20"/>
                <w:color w:val="auto"/>
              </w:rPr>
            </w:pPr>
            <w:r>
              <w:rPr>
                <w:rFonts w:ascii="Arial" w:cs="Arial" w:eastAsia="Arial" w:hAnsi="Arial"/>
                <w:sz w:val="13"/>
                <w:szCs w:val="13"/>
                <w:b w:val="1"/>
                <w:bCs w:val="1"/>
                <w:color w:val="auto"/>
              </w:rPr>
              <w:t xml:space="preserve">Salary </w:t>
            </w:r>
            <w:r>
              <w:rPr>
                <w:rFonts w:ascii="Arial" w:cs="Arial" w:eastAsia="Arial" w:hAnsi="Arial"/>
                <w:sz w:val="24"/>
                <w:szCs w:val="24"/>
                <w:b w:val="1"/>
                <w:bCs w:val="1"/>
                <w:color w:val="auto"/>
                <w:vertAlign w:val="subscript"/>
              </w:rPr>
              <w:t>​​</w:t>
            </w:r>
          </w:p>
        </w:tc>
        <w:tc>
          <w:tcPr>
            <w:tcW w:w="4720" w:type="dxa"/>
            <w:vAlign w:val="bottom"/>
            <w:gridSpan w:val="7"/>
          </w:tcPr>
          <w:p>
            <w:pPr>
              <w:ind w:left="80"/>
              <w:spacing w:after="0" w:line="212" w:lineRule="exact"/>
              <w:rPr>
                <w:sz w:val="20"/>
                <w:szCs w:val="20"/>
                <w:color w:val="auto"/>
              </w:rPr>
            </w:pPr>
            <w:r>
              <w:rPr>
                <w:rFonts w:ascii="Arial" w:cs="Arial" w:eastAsia="Arial" w:hAnsi="Arial"/>
                <w:sz w:val="13"/>
                <w:szCs w:val="13"/>
                <w:b w:val="1"/>
                <w:bCs w:val="1"/>
                <w:color w:val="auto"/>
              </w:rPr>
              <w:t xml:space="preserve">Bonus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Awards</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Awards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Compensation</w:t>
            </w:r>
            <w:r>
              <w:rPr>
                <w:rFonts w:ascii="Arial" w:cs="Arial" w:eastAsia="Arial" w:hAnsi="Arial"/>
                <w:sz w:val="15"/>
                <w:szCs w:val="15"/>
                <w:b w:val="1"/>
                <w:bCs w:val="1"/>
                <w:color w:val="auto"/>
                <w:vertAlign w:val="superscript"/>
              </w:rPr>
              <w:t>(2)</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Compensation</w:t>
            </w:r>
            <w:r>
              <w:rPr>
                <w:rFonts w:ascii="Arial" w:cs="Arial" w:eastAsia="Arial" w:hAnsi="Arial"/>
                <w:sz w:val="15"/>
                <w:szCs w:val="15"/>
                <w:b w:val="1"/>
                <w:bCs w:val="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c>
          <w:tcPr>
            <w:tcW w:w="720" w:type="dxa"/>
            <w:vAlign w:val="bottom"/>
            <w:gridSpan w:val="2"/>
          </w:tcPr>
          <w:p>
            <w:pPr>
              <w:jc w:val="right"/>
              <w:spacing w:after="0" w:line="212"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43"/>
        </w:trPr>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Mitchell Fadel</w:t>
            </w:r>
            <w:r>
              <w:rPr>
                <w:rFonts w:ascii="Arial" w:cs="Arial" w:eastAsia="Arial" w:hAnsi="Arial"/>
                <w:sz w:val="17"/>
                <w:szCs w:val="17"/>
                <w:b w:val="1"/>
                <w:bCs w:val="1"/>
                <w:color w:val="auto"/>
                <w:vertAlign w:val="superscript"/>
              </w:rPr>
              <w:t>(4)</w:t>
            </w:r>
          </w:p>
        </w:tc>
        <w:tc>
          <w:tcPr>
            <w:tcW w:w="40" w:type="dxa"/>
            <w:vAlign w:val="bottom"/>
            <w:tcBorders>
              <w:top w:val="single" w:sz="8" w:color="auto"/>
            </w:tcBorders>
          </w:tcPr>
          <w:p>
            <w:pPr>
              <w:spacing w:after="0"/>
              <w:rPr>
                <w:sz w:val="21"/>
                <w:szCs w:val="21"/>
                <w:color w:val="auto"/>
              </w:rPr>
            </w:pPr>
          </w:p>
        </w:tc>
        <w:tc>
          <w:tcPr>
            <w:tcW w:w="600" w:type="dxa"/>
            <w:vAlign w:val="bottom"/>
            <w:tcBorders>
              <w:top w:val="single" w:sz="8" w:color="auto"/>
              <w:bottom w:val="single" w:sz="8" w:color="E5E5E5"/>
            </w:tcBorders>
            <w:shd w:val="clear" w:color="auto" w:fill="E5E5E5"/>
          </w:tcPr>
          <w:p>
            <w:pPr>
              <w:jc w:val="right"/>
              <w:spacing w:after="0" w:line="241"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​2025</w:t>
            </w: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940" w:type="dxa"/>
            <w:vAlign w:val="bottom"/>
            <w:tcBorders>
              <w:top w:val="single" w:sz="8" w:color="auto"/>
              <w:bottom w:val="single" w:sz="8" w:color="E5E5E5"/>
            </w:tcBorders>
            <w:shd w:val="clear" w:color="auto" w:fill="E5E5E5"/>
          </w:tcPr>
          <w:p>
            <w:pPr>
              <w:jc w:val="right"/>
              <w:ind w:right="13"/>
              <w:spacing w:after="0" w:line="241" w:lineRule="exact"/>
              <w:rPr>
                <w:sz w:val="20"/>
                <w:szCs w:val="20"/>
                <w:color w:val="auto"/>
              </w:rPr>
            </w:pPr>
            <w:r>
              <w:rPr>
                <w:rFonts w:ascii="Arial" w:cs="Arial" w:eastAsia="Arial" w:hAnsi="Arial"/>
                <w:sz w:val="14"/>
                <w:szCs w:val="14"/>
                <w:color w:val="auto"/>
              </w:rPr>
              <w:t>  507,058</w:t>
            </w: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2260" w:type="dxa"/>
            <w:vAlign w:val="bottom"/>
            <w:tcBorders>
              <w:top w:val="single" w:sz="8" w:color="auto"/>
              <w:bottom w:val="single" w:sz="8" w:color="E5E5E5"/>
            </w:tcBorders>
            <w:gridSpan w:val="3"/>
            <w:shd w:val="clear" w:color="auto" w:fill="E5E5E5"/>
          </w:tcPr>
          <w:p>
            <w:pPr>
              <w:jc w:val="right"/>
              <w:ind w:right="13"/>
              <w:spacing w:after="0" w:line="241"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r>
              <w:rPr>
                <w:rFonts w:ascii="Arial" w:cs="Arial" w:eastAsia="Arial" w:hAnsi="Arial"/>
                <w:sz w:val="14"/>
                <w:szCs w:val="14"/>
                <w:color w:val="auto"/>
              </w:rPr>
              <w:t>$  6,447,533</w:t>
            </w: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30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E5E5E5"/>
            </w:tcBorders>
            <w:shd w:val="clear" w:color="auto" w:fill="E5E5E5"/>
          </w:tcPr>
          <w:p>
            <w:pPr>
              <w:jc w:val="right"/>
              <w:ind w:right="133"/>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320" w:type="dxa"/>
            <w:vAlign w:val="bottom"/>
            <w:tcBorders>
              <w:top w:val="single" w:sz="8" w:color="auto"/>
              <w:bottom w:val="single" w:sz="8" w:color="E5E5E5"/>
            </w:tcBorders>
            <w:shd w:val="clear" w:color="auto" w:fill="E5E5E5"/>
          </w:tcPr>
          <w:p>
            <w:pPr>
              <w:ind w:left="200"/>
              <w:spacing w:after="0" w:line="241" w:lineRule="exact"/>
              <w:rPr>
                <w:sz w:val="20"/>
                <w:szCs w:val="20"/>
                <w:color w:val="auto"/>
              </w:rPr>
            </w:pPr>
            <w:r>
              <w:rPr>
                <w:rFonts w:ascii="Arial" w:cs="Arial" w:eastAsia="Arial" w:hAnsi="Arial"/>
                <w:sz w:val="14"/>
                <w:szCs w:val="14"/>
                <w:color w:val="auto"/>
                <w:w w:val="99"/>
              </w:rPr>
              <w:t>​</w:t>
            </w:r>
            <w:r>
              <w:rPr>
                <w:rFonts w:ascii="Arial" w:cs="Arial" w:eastAsia="Arial" w:hAnsi="Arial"/>
                <w:sz w:val="27"/>
                <w:szCs w:val="27"/>
                <w:color w:val="auto"/>
                <w:w w:val="99"/>
                <w:vertAlign w:val="subscript"/>
              </w:rPr>
              <w:t>$</w:t>
            </w:r>
          </w:p>
        </w:tc>
        <w:tc>
          <w:tcPr>
            <w:tcW w:w="1480" w:type="dxa"/>
            <w:vAlign w:val="bottom"/>
            <w:tcBorders>
              <w:top w:val="single" w:sz="8" w:color="auto"/>
              <w:bottom w:val="single" w:sz="8" w:color="E5E5E5"/>
            </w:tcBorders>
            <w:gridSpan w:val="2"/>
            <w:shd w:val="clear" w:color="auto" w:fill="E5E5E5"/>
          </w:tcPr>
          <w:p>
            <w:pPr>
              <w:jc w:val="right"/>
              <w:spacing w:after="0" w:line="241" w:lineRule="exact"/>
              <w:rPr>
                <w:sz w:val="20"/>
                <w:szCs w:val="20"/>
                <w:color w:val="auto"/>
              </w:rPr>
            </w:pPr>
            <w:r>
              <w:rPr>
                <w:rFonts w:ascii="Arial" w:cs="Arial" w:eastAsia="Arial" w:hAnsi="Arial"/>
                <w:sz w:val="14"/>
                <w:szCs w:val="14"/>
                <w:color w:val="auto"/>
              </w:rPr>
              <w:t>  23,950</w:t>
            </w:r>
            <w:r>
              <w:rPr>
                <w:rFonts w:ascii="Arial" w:cs="Arial" w:eastAsia="Arial" w:hAnsi="Arial"/>
                <w:sz w:val="27"/>
                <w:szCs w:val="27"/>
                <w:color w:val="auto"/>
                <w:vertAlign w:val="superscript"/>
              </w:rPr>
              <w:t>​​​​</w:t>
            </w:r>
            <w:r>
              <w:rPr>
                <w:rFonts w:ascii="Arial" w:cs="Arial" w:eastAsia="Arial" w:hAnsi="Arial"/>
                <w:sz w:val="14"/>
                <w:szCs w:val="14"/>
                <w:color w:val="auto"/>
              </w:rPr>
              <w:t>$  6,978,541</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Arial" w:cs="Arial" w:eastAsia="Arial" w:hAnsi="Arial"/>
                <w:sz w:val="14"/>
                <w:szCs w:val="14"/>
                <w:i w:val="1"/>
                <w:iCs w:val="1"/>
                <w:color w:val="auto"/>
              </w:rPr>
              <w:t>Former Chief Executive Officer</w:t>
            </w:r>
          </w:p>
        </w:tc>
        <w:tc>
          <w:tcPr>
            <w:tcW w:w="40" w:type="dxa"/>
            <w:vAlign w:val="bottom"/>
          </w:tcPr>
          <w:p>
            <w:pPr>
              <w:spacing w:after="0"/>
              <w:rPr>
                <w:sz w:val="19"/>
                <w:szCs w:val="19"/>
                <w:color w:val="auto"/>
              </w:rPr>
            </w:pPr>
          </w:p>
        </w:tc>
        <w:tc>
          <w:tcPr>
            <w:tcW w:w="1540" w:type="dxa"/>
            <w:vAlign w:val="bottom"/>
            <w:gridSpan w:val="2"/>
          </w:tcPr>
          <w:p>
            <w:pPr>
              <w:jc w:val="right"/>
              <w:ind w:right="13"/>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​2024</w:t>
            </w:r>
            <w:r>
              <w:rPr>
                <w:rFonts w:ascii="Arial" w:cs="Arial" w:eastAsia="Arial" w:hAnsi="Arial"/>
                <w:sz w:val="25"/>
                <w:szCs w:val="25"/>
                <w:color w:val="auto"/>
                <w:vertAlign w:val="superscript"/>
              </w:rPr>
              <w:t>​​​​</w:t>
            </w:r>
            <w:r>
              <w:rPr>
                <w:rFonts w:ascii="Arial" w:cs="Arial" w:eastAsia="Arial" w:hAnsi="Arial"/>
                <w:sz w:val="13"/>
                <w:szCs w:val="13"/>
                <w:color w:val="auto"/>
              </w:rPr>
              <w:t>$  1,100,000</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760" w:type="dxa"/>
            <w:vAlign w:val="bottom"/>
          </w:tcPr>
          <w:p>
            <w:pPr>
              <w:jc w:val="right"/>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20" w:type="dxa"/>
            <w:vAlign w:val="bottom"/>
          </w:tcPr>
          <w:p>
            <w:pPr>
              <w:jc w:val="right"/>
              <w:ind w:right="93"/>
              <w:spacing w:after="0" w:line="220" w:lineRule="exact"/>
              <w:rPr>
                <w:sz w:val="20"/>
                <w:szCs w:val="20"/>
                <w:color w:val="auto"/>
              </w:rPr>
            </w:pPr>
            <w:r>
              <w:rPr>
                <w:rFonts w:ascii="Arial" w:cs="Arial" w:eastAsia="Arial" w:hAnsi="Arial"/>
                <w:sz w:val="13"/>
                <w:szCs w:val="13"/>
                <w:color w:val="auto"/>
              </w:rPr>
              <w:t>6,672,932</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480" w:type="dxa"/>
            <w:vAlign w:val="bottom"/>
          </w:tcPr>
          <w:p>
            <w:pPr>
              <w:jc w:val="right"/>
              <w:ind w:right="13"/>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3"/>
              <w:spacing w:after="0" w:line="220" w:lineRule="exact"/>
              <w:rPr>
                <w:sz w:val="20"/>
                <w:szCs w:val="20"/>
                <w:color w:val="auto"/>
              </w:rPr>
            </w:pPr>
            <w:r>
              <w:rPr>
                <w:rFonts w:ascii="Arial" w:cs="Arial" w:eastAsia="Arial" w:hAnsi="Arial"/>
                <w:sz w:val="13"/>
                <w:szCs w:val="13"/>
                <w:color w:val="auto"/>
              </w:rPr>
              <w:t>  1,650,000</w:t>
            </w:r>
            <w:r>
              <w:rPr>
                <w:rFonts w:ascii="Arial" w:cs="Arial" w:eastAsia="Arial" w:hAnsi="Arial"/>
                <w:sz w:val="25"/>
                <w:szCs w:val="25"/>
                <w:color w:val="auto"/>
                <w:vertAlign w:val="superscript"/>
              </w:rPr>
              <w:t>​​​</w:t>
            </w:r>
          </w:p>
        </w:tc>
        <w:tc>
          <w:tcPr>
            <w:tcW w:w="320" w:type="dxa"/>
            <w:vAlign w:val="bottom"/>
          </w:tcPr>
          <w:p>
            <w:pPr>
              <w:ind w:left="200"/>
              <w:spacing w:after="0" w:line="22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Pr>
          <w:p>
            <w:pPr>
              <w:ind w:left="140"/>
              <w:spacing w:after="0" w:line="220" w:lineRule="exact"/>
              <w:rPr>
                <w:sz w:val="20"/>
                <w:szCs w:val="20"/>
                <w:color w:val="auto"/>
              </w:rPr>
            </w:pPr>
            <w:r>
              <w:rPr>
                <w:rFonts w:ascii="Arial" w:cs="Arial" w:eastAsia="Arial" w:hAnsi="Arial"/>
                <w:sz w:val="13"/>
                <w:szCs w:val="13"/>
                <w:color w:val="auto"/>
              </w:rPr>
              <w:t>85,981</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9,508,913</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43"/>
        </w:trPr>
        <w:tc>
          <w:tcPr>
            <w:tcW w:w="2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940" w:type="dxa"/>
            <w:vAlign w:val="bottom"/>
            <w:tcBorders>
              <w:bottom w:val="single" w:sz="8" w:color="auto"/>
            </w:tcBorders>
            <w:shd w:val="clear" w:color="auto" w:fill="E5E5E5"/>
          </w:tcPr>
          <w:p>
            <w:pPr>
              <w:jc w:val="right"/>
              <w:ind w:right="13"/>
              <w:spacing w:after="0" w:line="243" w:lineRule="exact"/>
              <w:rPr>
                <w:sz w:val="20"/>
                <w:szCs w:val="20"/>
                <w:color w:val="auto"/>
              </w:rPr>
            </w:pPr>
            <w:r>
              <w:rPr>
                <w:rFonts w:ascii="Arial" w:cs="Arial" w:eastAsia="Arial" w:hAnsi="Arial"/>
                <w:sz w:val="14"/>
                <w:szCs w:val="14"/>
                <w:color w:val="auto"/>
              </w:rPr>
              <w:t>1,100,000</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60" w:type="dxa"/>
            <w:vAlign w:val="bottom"/>
            <w:tcBorders>
              <w:bottom w:val="single" w:sz="8" w:color="auto"/>
            </w:tcBorders>
            <w:shd w:val="clear" w:color="auto" w:fill="E5E5E5"/>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1020" w:type="dxa"/>
            <w:vAlign w:val="bottom"/>
            <w:tcBorders>
              <w:bottom w:val="single" w:sz="8" w:color="auto"/>
            </w:tcBorders>
            <w:shd w:val="clear" w:color="auto" w:fill="E5E5E5"/>
          </w:tcPr>
          <w:p>
            <w:pPr>
              <w:jc w:val="right"/>
              <w:ind w:right="93"/>
              <w:spacing w:after="0" w:line="243" w:lineRule="exact"/>
              <w:rPr>
                <w:sz w:val="20"/>
                <w:szCs w:val="20"/>
                <w:color w:val="auto"/>
              </w:rPr>
            </w:pPr>
            <w:r>
              <w:rPr>
                <w:rFonts w:ascii="Arial" w:cs="Arial" w:eastAsia="Arial" w:hAnsi="Arial"/>
                <w:sz w:val="14"/>
                <w:szCs w:val="14"/>
                <w:color w:val="auto"/>
              </w:rPr>
              <w:t>6,502,656</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80" w:type="dxa"/>
            <w:vAlign w:val="bottom"/>
            <w:tcBorders>
              <w:bottom w:val="single" w:sz="8" w:color="auto"/>
            </w:tcBorders>
            <w:shd w:val="clear" w:color="auto" w:fill="E5E5E5"/>
          </w:tcPr>
          <w:p>
            <w:pPr>
              <w:jc w:val="right"/>
              <w:ind w:right="13"/>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5E5E5"/>
          </w:tcPr>
          <w:p>
            <w:pPr>
              <w:jc w:val="right"/>
              <w:ind w:right="133"/>
              <w:spacing w:after="0" w:line="243" w:lineRule="exact"/>
              <w:rPr>
                <w:sz w:val="20"/>
                <w:szCs w:val="20"/>
                <w:color w:val="auto"/>
              </w:rPr>
            </w:pPr>
            <w:r>
              <w:rPr>
                <w:rFonts w:ascii="Arial" w:cs="Arial" w:eastAsia="Arial" w:hAnsi="Arial"/>
                <w:sz w:val="14"/>
                <w:szCs w:val="14"/>
                <w:color w:val="auto"/>
              </w:rPr>
              <w:t>2,138,400</w:t>
            </w:r>
            <w:r>
              <w:rPr>
                <w:rFonts w:ascii="Arial" w:cs="Arial" w:eastAsia="Arial" w:hAnsi="Arial"/>
                <w:sz w:val="28"/>
                <w:szCs w:val="28"/>
                <w:color w:val="auto"/>
                <w:vertAlign w:val="superscript"/>
              </w:rPr>
              <w:t>​​​</w:t>
            </w:r>
          </w:p>
        </w:tc>
        <w:tc>
          <w:tcPr>
            <w:tcW w:w="320" w:type="dxa"/>
            <w:vAlign w:val="bottom"/>
            <w:tcBorders>
              <w:bottom w:val="single" w:sz="8" w:color="auto"/>
            </w:tcBorders>
            <w:shd w:val="clear" w:color="auto" w:fill="E5E5E5"/>
          </w:tcPr>
          <w:p>
            <w:pPr>
              <w:ind w:left="200"/>
              <w:spacing w:after="0" w:line="243" w:lineRule="exact"/>
              <w:rPr>
                <w:sz w:val="20"/>
                <w:szCs w:val="20"/>
                <w:color w:val="auto"/>
              </w:rPr>
            </w:pPr>
            <w:r>
              <w:rPr>
                <w:rFonts w:ascii="Arial" w:cs="Arial" w:eastAsia="Arial" w:hAnsi="Arial"/>
                <w:sz w:val="14"/>
                <w:szCs w:val="14"/>
                <w:color w:val="auto"/>
                <w:w w:val="95"/>
              </w:rPr>
              <w:t>​</w:t>
            </w:r>
            <w:r>
              <w:rPr>
                <w:rFonts w:ascii="Arial" w:cs="Arial" w:eastAsia="Arial" w:hAnsi="Arial"/>
                <w:sz w:val="28"/>
                <w:szCs w:val="28"/>
                <w:color w:val="auto"/>
                <w:w w:val="95"/>
                <w:vertAlign w:val="subscript"/>
              </w:rPr>
              <w:t>$</w:t>
            </w:r>
          </w:p>
        </w:tc>
        <w:tc>
          <w:tcPr>
            <w:tcW w:w="800" w:type="dxa"/>
            <w:vAlign w:val="bottom"/>
            <w:tcBorders>
              <w:bottom w:val="single" w:sz="8" w:color="auto"/>
            </w:tcBorders>
            <w:shd w:val="clear" w:color="auto" w:fill="E5E5E5"/>
          </w:tcPr>
          <w:p>
            <w:pPr>
              <w:ind w:left="140"/>
              <w:spacing w:after="0" w:line="243" w:lineRule="exact"/>
              <w:rPr>
                <w:sz w:val="20"/>
                <w:szCs w:val="20"/>
                <w:color w:val="auto"/>
              </w:rPr>
            </w:pPr>
            <w:r>
              <w:rPr>
                <w:rFonts w:ascii="Arial" w:cs="Arial" w:eastAsia="Arial" w:hAnsi="Arial"/>
                <w:sz w:val="14"/>
                <w:szCs w:val="14"/>
                <w:color w:val="auto"/>
              </w:rPr>
              <w:t>49,995</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9,791,051</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20" w:type="dxa"/>
            <w:vAlign w:val="bottom"/>
          </w:tcPr>
          <w:p>
            <w:pPr>
              <w:spacing w:after="0"/>
              <w:rPr>
                <w:sz w:val="20"/>
                <w:szCs w:val="20"/>
                <w:color w:val="auto"/>
              </w:rPr>
            </w:pPr>
            <w:r>
              <w:rPr>
                <w:rFonts w:ascii="Arial" w:cs="Arial" w:eastAsia="Arial" w:hAnsi="Arial"/>
                <w:sz w:val="14"/>
                <w:szCs w:val="14"/>
                <w:b w:val="1"/>
                <w:bCs w:val="1"/>
                <w:color w:val="auto"/>
              </w:rPr>
              <w:t>Fahmi Karam</w:t>
            </w:r>
            <w:r>
              <w:rPr>
                <w:rFonts w:ascii="Arial" w:cs="Arial" w:eastAsia="Arial" w:hAnsi="Arial"/>
                <w:sz w:val="17"/>
                <w:szCs w:val="17"/>
                <w:b w:val="1"/>
                <w:bCs w:val="1"/>
                <w:color w:val="auto"/>
                <w:vertAlign w:val="superscript"/>
              </w:rPr>
              <w:t>(5)</w:t>
            </w:r>
          </w:p>
        </w:tc>
        <w:tc>
          <w:tcPr>
            <w:tcW w:w="40" w:type="dxa"/>
            <w:vAlign w:val="bottom"/>
          </w:tcPr>
          <w:p>
            <w:pPr>
              <w:spacing w:after="0"/>
              <w:rPr>
                <w:sz w:val="20"/>
                <w:szCs w:val="20"/>
                <w:color w:val="auto"/>
              </w:rPr>
            </w:pPr>
          </w:p>
        </w:tc>
        <w:tc>
          <w:tcPr>
            <w:tcW w:w="600" w:type="dxa"/>
            <w:vAlign w:val="bottom"/>
          </w:tcPr>
          <w:p>
            <w:pPr>
              <w:jc w:val="right"/>
              <w:spacing w:after="0" w:line="241"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​2025</w:t>
            </w: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940" w:type="dxa"/>
            <w:vAlign w:val="bottom"/>
          </w:tcPr>
          <w:p>
            <w:pPr>
              <w:jc w:val="right"/>
              <w:ind w:right="13"/>
              <w:spacing w:after="0" w:line="241" w:lineRule="exact"/>
              <w:rPr>
                <w:sz w:val="20"/>
                <w:szCs w:val="20"/>
                <w:color w:val="auto"/>
              </w:rPr>
            </w:pPr>
            <w:r>
              <w:rPr>
                <w:rFonts w:ascii="Arial" w:cs="Arial" w:eastAsia="Arial" w:hAnsi="Arial"/>
                <w:sz w:val="14"/>
                <w:szCs w:val="14"/>
                <w:color w:val="auto"/>
              </w:rPr>
              <w:t>1,081,183</w:t>
            </w: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760" w:type="dxa"/>
            <w:vAlign w:val="bottom"/>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1020" w:type="dxa"/>
            <w:vAlign w:val="bottom"/>
          </w:tcPr>
          <w:p>
            <w:pPr>
              <w:jc w:val="right"/>
              <w:ind w:right="93"/>
              <w:spacing w:after="0" w:line="241" w:lineRule="exact"/>
              <w:rPr>
                <w:sz w:val="20"/>
                <w:szCs w:val="20"/>
                <w:color w:val="auto"/>
              </w:rPr>
            </w:pPr>
            <w:r>
              <w:rPr>
                <w:rFonts w:ascii="Arial" w:cs="Arial" w:eastAsia="Arial" w:hAnsi="Arial"/>
                <w:sz w:val="14"/>
                <w:szCs w:val="14"/>
                <w:color w:val="auto"/>
              </w:rPr>
              <w:t>5,024,042</w:t>
            </w: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480" w:type="dxa"/>
            <w:vAlign w:val="bottom"/>
          </w:tcPr>
          <w:p>
            <w:pPr>
              <w:jc w:val="right"/>
              <w:ind w:right="13"/>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3"/>
              <w:spacing w:after="0" w:line="241" w:lineRule="exact"/>
              <w:rPr>
                <w:sz w:val="20"/>
                <w:szCs w:val="20"/>
                <w:color w:val="auto"/>
              </w:rPr>
            </w:pPr>
            <w:r>
              <w:rPr>
                <w:rFonts w:ascii="Arial" w:cs="Arial" w:eastAsia="Arial" w:hAnsi="Arial"/>
                <w:sz w:val="14"/>
                <w:szCs w:val="14"/>
                <w:color w:val="auto"/>
              </w:rPr>
              <w:t>1,221,000</w:t>
            </w:r>
            <w:r>
              <w:rPr>
                <w:rFonts w:ascii="Arial" w:cs="Arial" w:eastAsia="Arial" w:hAnsi="Arial"/>
                <w:sz w:val="27"/>
                <w:szCs w:val="27"/>
                <w:color w:val="auto"/>
                <w:vertAlign w:val="superscript"/>
              </w:rPr>
              <w:t>​​​</w:t>
            </w:r>
          </w:p>
        </w:tc>
        <w:tc>
          <w:tcPr>
            <w:tcW w:w="320" w:type="dxa"/>
            <w:vAlign w:val="bottom"/>
          </w:tcPr>
          <w:p>
            <w:pPr>
              <w:ind w:left="200"/>
              <w:spacing w:after="0" w:line="241" w:lineRule="exact"/>
              <w:rPr>
                <w:sz w:val="20"/>
                <w:szCs w:val="20"/>
                <w:color w:val="auto"/>
              </w:rPr>
            </w:pPr>
            <w:r>
              <w:rPr>
                <w:rFonts w:ascii="Arial" w:cs="Arial" w:eastAsia="Arial" w:hAnsi="Arial"/>
                <w:sz w:val="14"/>
                <w:szCs w:val="14"/>
                <w:color w:val="auto"/>
                <w:w w:val="99"/>
              </w:rPr>
              <w:t>​</w:t>
            </w:r>
            <w:r>
              <w:rPr>
                <w:rFonts w:ascii="Arial" w:cs="Arial" w:eastAsia="Arial" w:hAnsi="Arial"/>
                <w:sz w:val="27"/>
                <w:szCs w:val="27"/>
                <w:color w:val="auto"/>
                <w:w w:val="99"/>
                <w:vertAlign w:val="subscript"/>
              </w:rPr>
              <w:t>$</w:t>
            </w:r>
          </w:p>
        </w:tc>
        <w:tc>
          <w:tcPr>
            <w:tcW w:w="800" w:type="dxa"/>
            <w:vAlign w:val="bottom"/>
          </w:tcPr>
          <w:p>
            <w:pPr>
              <w:ind w:left="140"/>
              <w:spacing w:after="0" w:line="241" w:lineRule="exact"/>
              <w:rPr>
                <w:sz w:val="20"/>
                <w:szCs w:val="20"/>
                <w:color w:val="auto"/>
              </w:rPr>
            </w:pPr>
            <w:r>
              <w:rPr>
                <w:rFonts w:ascii="Arial" w:cs="Arial" w:eastAsia="Arial" w:hAnsi="Arial"/>
                <w:sz w:val="14"/>
                <w:szCs w:val="14"/>
                <w:color w:val="auto"/>
              </w:rPr>
              <w:t>37,035</w:t>
            </w: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7,363,260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2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Chief Executive Officer; former</w:t>
            </w: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5E5E5"/>
          </w:tcPr>
          <w:p>
            <w:pPr>
              <w:jc w:val="right"/>
              <w:spacing w:after="0" w:line="176"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​2024</w:t>
            </w: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940" w:type="dxa"/>
            <w:vAlign w:val="bottom"/>
            <w:shd w:val="clear" w:color="auto" w:fill="E5E5E5"/>
          </w:tcPr>
          <w:p>
            <w:pPr>
              <w:jc w:val="right"/>
              <w:ind w:right="13"/>
              <w:spacing w:after="0" w:line="176" w:lineRule="exact"/>
              <w:rPr>
                <w:sz w:val="20"/>
                <w:szCs w:val="20"/>
                <w:color w:val="auto"/>
              </w:rPr>
            </w:pPr>
            <w:r>
              <w:rPr>
                <w:rFonts w:ascii="Arial" w:cs="Arial" w:eastAsia="Arial" w:hAnsi="Arial"/>
                <w:sz w:val="12"/>
                <w:szCs w:val="12"/>
                <w:color w:val="auto"/>
              </w:rPr>
              <w:t>1,030,769</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760" w:type="dxa"/>
            <w:vAlign w:val="bottom"/>
            <w:shd w:val="clear" w:color="auto" w:fill="E5E5E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1020" w:type="dxa"/>
            <w:vAlign w:val="bottom"/>
            <w:shd w:val="clear" w:color="auto" w:fill="E5E5E5"/>
          </w:tcPr>
          <w:p>
            <w:pPr>
              <w:jc w:val="right"/>
              <w:ind w:right="93"/>
              <w:spacing w:after="0" w:line="176" w:lineRule="exact"/>
              <w:rPr>
                <w:sz w:val="20"/>
                <w:szCs w:val="20"/>
                <w:color w:val="auto"/>
              </w:rPr>
            </w:pPr>
            <w:r>
              <w:rPr>
                <w:rFonts w:ascii="Arial" w:cs="Arial" w:eastAsia="Arial" w:hAnsi="Arial"/>
                <w:sz w:val="12"/>
                <w:szCs w:val="12"/>
                <w:color w:val="auto"/>
              </w:rPr>
              <w:t>1,376,488</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80" w:type="dxa"/>
            <w:vAlign w:val="bottom"/>
            <w:shd w:val="clear" w:color="auto" w:fill="E5E5E5"/>
          </w:tcPr>
          <w:p>
            <w:pPr>
              <w:jc w:val="right"/>
              <w:ind w:right="13"/>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33"/>
              <w:spacing w:after="0" w:line="176" w:lineRule="exact"/>
              <w:rPr>
                <w:sz w:val="20"/>
                <w:szCs w:val="20"/>
                <w:color w:val="auto"/>
              </w:rPr>
            </w:pPr>
            <w:r>
              <w:rPr>
                <w:rFonts w:ascii="Arial" w:cs="Arial" w:eastAsia="Arial" w:hAnsi="Arial"/>
                <w:sz w:val="12"/>
                <w:szCs w:val="12"/>
                <w:color w:val="auto"/>
              </w:rPr>
              <w:t>624,000</w:t>
            </w:r>
            <w:r>
              <w:rPr>
                <w:rFonts w:ascii="Arial" w:cs="Arial" w:eastAsia="Arial" w:hAnsi="Arial"/>
                <w:sz w:val="20"/>
                <w:szCs w:val="20"/>
                <w:color w:val="auto"/>
                <w:vertAlign w:val="superscript"/>
              </w:rPr>
              <w:t>​​​</w:t>
            </w:r>
          </w:p>
        </w:tc>
        <w:tc>
          <w:tcPr>
            <w:tcW w:w="320" w:type="dxa"/>
            <w:vAlign w:val="bottom"/>
            <w:shd w:val="clear" w:color="auto" w:fill="E5E5E5"/>
          </w:tcPr>
          <w:p>
            <w:pPr>
              <w:ind w:left="200"/>
              <w:spacing w:after="0" w:line="176"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800" w:type="dxa"/>
            <w:vAlign w:val="bottom"/>
            <w:shd w:val="clear" w:color="auto" w:fill="E5E5E5"/>
          </w:tcPr>
          <w:p>
            <w:pPr>
              <w:ind w:left="140"/>
              <w:spacing w:after="0" w:line="176" w:lineRule="exact"/>
              <w:rPr>
                <w:sz w:val="20"/>
                <w:szCs w:val="20"/>
                <w:color w:val="auto"/>
              </w:rPr>
            </w:pPr>
            <w:r>
              <w:rPr>
                <w:rFonts w:ascii="Arial" w:cs="Arial" w:eastAsia="Arial" w:hAnsi="Arial"/>
                <w:sz w:val="12"/>
                <w:szCs w:val="12"/>
                <w:color w:val="auto"/>
              </w:rPr>
              <w:t>36,131</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3,067,388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20" w:type="dxa"/>
            <w:vAlign w:val="bottom"/>
            <w:vMerge w:val="restart"/>
          </w:tcPr>
          <w:p>
            <w:pPr>
              <w:ind w:left="140"/>
              <w:spacing w:after="0" w:line="155" w:lineRule="exact"/>
              <w:rPr>
                <w:sz w:val="20"/>
                <w:szCs w:val="20"/>
                <w:color w:val="auto"/>
              </w:rPr>
            </w:pPr>
            <w:r>
              <w:rPr>
                <w:rFonts w:ascii="Arial" w:cs="Arial" w:eastAsia="Arial" w:hAnsi="Arial"/>
                <w:sz w:val="14"/>
                <w:szCs w:val="14"/>
                <w:i w:val="1"/>
                <w:iCs w:val="1"/>
                <w:color w:val="auto"/>
              </w:rPr>
              <w:t>Executive Vice President −</w:t>
            </w:r>
          </w:p>
        </w:tc>
        <w:tc>
          <w:tcPr>
            <w:tcW w:w="40" w:type="dxa"/>
            <w:vAlign w:val="bottom"/>
          </w:tcPr>
          <w:p>
            <w:pPr>
              <w:spacing w:after="0"/>
              <w:rPr>
                <w:sz w:val="7"/>
                <w:szCs w:val="7"/>
                <w:color w:val="auto"/>
              </w:rPr>
            </w:pPr>
          </w:p>
        </w:tc>
        <w:tc>
          <w:tcPr>
            <w:tcW w:w="600" w:type="dxa"/>
            <w:vAlign w:val="bottom"/>
            <w:shd w:val="clear" w:color="auto" w:fill="E5E5E5"/>
          </w:tcPr>
          <w:p>
            <w:pPr>
              <w:spacing w:after="0"/>
              <w:rPr>
                <w:sz w:val="7"/>
                <w:szCs w:val="7"/>
                <w:color w:val="auto"/>
              </w:rPr>
            </w:pPr>
          </w:p>
        </w:tc>
        <w:tc>
          <w:tcPr>
            <w:tcW w:w="94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480" w:type="dxa"/>
            <w:vAlign w:val="bottom"/>
            <w:shd w:val="clear" w:color="auto" w:fill="E5E5E5"/>
          </w:tcPr>
          <w:p>
            <w:pPr>
              <w:spacing w:after="0"/>
              <w:rPr>
                <w:sz w:val="7"/>
                <w:szCs w:val="7"/>
                <w:color w:val="auto"/>
              </w:rPr>
            </w:pPr>
          </w:p>
        </w:tc>
        <w:tc>
          <w:tcPr>
            <w:tcW w:w="3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800" w:type="dxa"/>
            <w:vAlign w:val="bottom"/>
            <w:shd w:val="clear" w:color="auto" w:fill="E5E5E5"/>
          </w:tcPr>
          <w:p>
            <w:pPr>
              <w:spacing w:after="0"/>
              <w:rPr>
                <w:sz w:val="7"/>
                <w:szCs w:val="7"/>
                <w:color w:val="auto"/>
              </w:rPr>
            </w:pPr>
          </w:p>
        </w:tc>
        <w:tc>
          <w:tcPr>
            <w:tcW w:w="680" w:type="dxa"/>
            <w:vAlign w:val="bottom"/>
            <w:shd w:val="clear" w:color="auto" w:fill="E5E5E5"/>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restart"/>
          </w:tcPr>
          <w:p>
            <w:pPr>
              <w:jc w:val="right"/>
              <w:spacing w:after="0" w:line="29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1700" w:type="dxa"/>
            <w:vAlign w:val="bottom"/>
            <w:gridSpan w:val="2"/>
            <w:vMerge w:val="restart"/>
          </w:tcPr>
          <w:p>
            <w:pPr>
              <w:jc w:val="right"/>
              <w:spacing w:after="0" w:line="297" w:lineRule="exact"/>
              <w:rPr>
                <w:sz w:val="20"/>
                <w:szCs w:val="20"/>
                <w:color w:val="auto"/>
              </w:rPr>
            </w:pPr>
            <w:r>
              <w:rPr>
                <w:rFonts w:ascii="Arial" w:cs="Arial" w:eastAsia="Arial" w:hAnsi="Arial"/>
                <w:sz w:val="14"/>
                <w:szCs w:val="14"/>
                <w:color w:val="auto"/>
              </w:rPr>
              <w:t>1,000,000</w:t>
            </w:r>
            <w:r>
              <w:rPr>
                <w:rFonts w:ascii="Arial" w:cs="Arial" w:eastAsia="Arial" w:hAnsi="Arial"/>
                <w:sz w:val="28"/>
                <w:szCs w:val="28"/>
                <w:color w:val="auto"/>
                <w:vertAlign w:val="superscript"/>
              </w:rPr>
              <w:t>​​​​</w:t>
            </w:r>
            <w:r>
              <w:rPr>
                <w:rFonts w:ascii="Arial" w:cs="Arial" w:eastAsia="Arial" w:hAnsi="Arial"/>
                <w:sz w:val="14"/>
                <w:szCs w:val="14"/>
                <w:color w:val="auto"/>
              </w:rPr>
              <w:t>$  500,000</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020" w:type="dxa"/>
            <w:vAlign w:val="bottom"/>
            <w:vMerge w:val="restart"/>
          </w:tcPr>
          <w:p>
            <w:pPr>
              <w:jc w:val="right"/>
              <w:ind w:right="93"/>
              <w:spacing w:after="0" w:line="297" w:lineRule="exact"/>
              <w:rPr>
                <w:sz w:val="20"/>
                <w:szCs w:val="20"/>
                <w:color w:val="auto"/>
              </w:rPr>
            </w:pPr>
            <w:r>
              <w:rPr>
                <w:rFonts w:ascii="Arial" w:cs="Arial" w:eastAsia="Arial" w:hAnsi="Arial"/>
                <w:sz w:val="14"/>
                <w:szCs w:val="14"/>
                <w:color w:val="auto"/>
              </w:rPr>
              <w:t>3,561,176</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80" w:type="dxa"/>
            <w:vAlign w:val="bottom"/>
            <w:vMerge w:val="restart"/>
          </w:tcPr>
          <w:p>
            <w:pPr>
              <w:jc w:val="right"/>
              <w:ind w:right="13"/>
              <w:spacing w:after="0" w:line="29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33"/>
              <w:spacing w:after="0" w:line="297" w:lineRule="exact"/>
              <w:rPr>
                <w:sz w:val="20"/>
                <w:szCs w:val="20"/>
                <w:color w:val="auto"/>
              </w:rPr>
            </w:pPr>
            <w:r>
              <w:rPr>
                <w:rFonts w:ascii="Arial" w:cs="Arial" w:eastAsia="Arial" w:hAnsi="Arial"/>
                <w:sz w:val="14"/>
                <w:szCs w:val="14"/>
                <w:color w:val="auto"/>
              </w:rPr>
              <w:t>864,008</w:t>
            </w:r>
            <w:r>
              <w:rPr>
                <w:rFonts w:ascii="Arial" w:cs="Arial" w:eastAsia="Arial" w:hAnsi="Arial"/>
                <w:sz w:val="28"/>
                <w:szCs w:val="28"/>
                <w:color w:val="auto"/>
                <w:vertAlign w:val="superscript"/>
              </w:rPr>
              <w:t>​​​</w:t>
            </w:r>
          </w:p>
        </w:tc>
        <w:tc>
          <w:tcPr>
            <w:tcW w:w="320" w:type="dxa"/>
            <w:vAlign w:val="bottom"/>
            <w:vMerge w:val="restart"/>
          </w:tcPr>
          <w:p>
            <w:pPr>
              <w:ind w:left="200"/>
              <w:spacing w:after="0" w:line="29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800" w:type="dxa"/>
            <w:vAlign w:val="bottom"/>
            <w:vMerge w:val="restart"/>
          </w:tcPr>
          <w:p>
            <w:pPr>
              <w:ind w:left="140"/>
              <w:spacing w:after="0" w:line="297" w:lineRule="exact"/>
              <w:rPr>
                <w:sz w:val="20"/>
                <w:szCs w:val="20"/>
                <w:color w:val="auto"/>
              </w:rPr>
            </w:pPr>
            <w:r>
              <w:rPr>
                <w:rFonts w:ascii="Arial" w:cs="Arial" w:eastAsia="Arial" w:hAnsi="Arial"/>
                <w:sz w:val="14"/>
                <w:szCs w:val="14"/>
                <w:color w:val="auto"/>
              </w:rPr>
              <w:t>41,947</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20" w:type="dxa"/>
            <w:vAlign w:val="bottom"/>
            <w:gridSpan w:val="2"/>
            <w:vMerge w:val="restart"/>
          </w:tcPr>
          <w:p>
            <w:pPr>
              <w:jc w:val="right"/>
              <w:spacing w:after="0" w:line="297" w:lineRule="exact"/>
              <w:rPr>
                <w:sz w:val="20"/>
                <w:szCs w:val="20"/>
                <w:color w:val="auto"/>
              </w:rPr>
            </w:pPr>
            <w:r>
              <w:rPr>
                <w:rFonts w:ascii="Arial" w:cs="Arial" w:eastAsia="Arial" w:hAnsi="Arial"/>
                <w:sz w:val="14"/>
                <w:szCs w:val="14"/>
                <w:color w:val="auto"/>
              </w:rPr>
              <w:t>5,967,131</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23"/>
        </w:trPr>
        <w:tc>
          <w:tcPr>
            <w:tcW w:w="2220" w:type="dxa"/>
            <w:vAlign w:val="bottom"/>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Hal Khouri</w:t>
            </w:r>
            <w:r>
              <w:rPr>
                <w:rFonts w:ascii="Arial" w:cs="Arial" w:eastAsia="Arial" w:hAnsi="Arial"/>
                <w:sz w:val="17"/>
                <w:szCs w:val="17"/>
                <w:b w:val="1"/>
                <w:bCs w:val="1"/>
                <w:color w:val="auto"/>
                <w:vertAlign w:val="superscript"/>
              </w:rPr>
              <w:t>(6)</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shd w:val="clear" w:color="auto" w:fill="E5E5E5"/>
          </w:tcPr>
          <w:p>
            <w:pPr>
              <w:jc w:val="right"/>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​2025</w:t>
            </w: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40" w:type="dxa"/>
            <w:vAlign w:val="bottom"/>
            <w:tcBorders>
              <w:top w:val="single" w:sz="8" w:color="auto"/>
            </w:tcBorders>
            <w:shd w:val="clear" w:color="auto" w:fill="E5E5E5"/>
          </w:tcPr>
          <w:p>
            <w:pPr>
              <w:jc w:val="right"/>
              <w:ind w:right="13"/>
              <w:spacing w:after="0" w:line="216" w:lineRule="exact"/>
              <w:rPr>
                <w:sz w:val="20"/>
                <w:szCs w:val="20"/>
                <w:color w:val="auto"/>
              </w:rPr>
            </w:pPr>
            <w:r>
              <w:rPr>
                <w:rFonts w:ascii="Arial" w:cs="Arial" w:eastAsia="Arial" w:hAnsi="Arial"/>
                <w:sz w:val="13"/>
                <w:szCs w:val="13"/>
                <w:color w:val="auto"/>
              </w:rPr>
              <w:t>77,885</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760" w:type="dxa"/>
            <w:vAlign w:val="bottom"/>
            <w:tcBorders>
              <w:top w:val="single" w:sz="8" w:color="auto"/>
            </w:tcBorders>
            <w:shd w:val="clear" w:color="auto" w:fill="E5E5E5"/>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20" w:type="dxa"/>
            <w:vAlign w:val="bottom"/>
            <w:tcBorders>
              <w:top w:val="single" w:sz="8" w:color="auto"/>
            </w:tcBorders>
            <w:shd w:val="clear" w:color="auto" w:fill="E5E5E5"/>
          </w:tcPr>
          <w:p>
            <w:pPr>
              <w:jc w:val="right"/>
              <w:ind w:right="93"/>
              <w:spacing w:after="0" w:line="216" w:lineRule="exact"/>
              <w:rPr>
                <w:sz w:val="20"/>
                <w:szCs w:val="20"/>
                <w:color w:val="auto"/>
              </w:rPr>
            </w:pPr>
            <w:r>
              <w:rPr>
                <w:rFonts w:ascii="Arial" w:cs="Arial" w:eastAsia="Arial" w:hAnsi="Arial"/>
                <w:sz w:val="13"/>
                <w:szCs w:val="13"/>
                <w:color w:val="auto"/>
              </w:rPr>
              <w:t>1,499,994</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480" w:type="dxa"/>
            <w:vAlign w:val="bottom"/>
            <w:tcBorders>
              <w:top w:val="single" w:sz="8" w:color="auto"/>
            </w:tcBorders>
            <w:shd w:val="clear" w:color="auto" w:fill="E5E5E5"/>
          </w:tcPr>
          <w:p>
            <w:pPr>
              <w:jc w:val="right"/>
              <w:ind w:right="1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E5E5E5"/>
          </w:tcPr>
          <w:p>
            <w:pPr>
              <w:jc w:val="right"/>
              <w:ind w:right="133"/>
              <w:spacing w:after="0" w:line="216" w:lineRule="exact"/>
              <w:rPr>
                <w:sz w:val="20"/>
                <w:szCs w:val="20"/>
                <w:color w:val="auto"/>
              </w:rPr>
            </w:pPr>
            <w:r>
              <w:rPr>
                <w:rFonts w:ascii="Arial" w:cs="Arial" w:eastAsia="Arial" w:hAnsi="Arial"/>
                <w:sz w:val="13"/>
                <w:szCs w:val="13"/>
                <w:color w:val="auto"/>
              </w:rPr>
              <w:t>224,775</w:t>
            </w:r>
            <w:r>
              <w:rPr>
                <w:rFonts w:ascii="Arial" w:cs="Arial" w:eastAsia="Arial" w:hAnsi="Arial"/>
                <w:sz w:val="25"/>
                <w:szCs w:val="25"/>
                <w:color w:val="auto"/>
                <w:vertAlign w:val="superscript"/>
              </w:rPr>
              <w:t>​​​</w:t>
            </w:r>
          </w:p>
        </w:tc>
        <w:tc>
          <w:tcPr>
            <w:tcW w:w="1120" w:type="dxa"/>
            <w:vAlign w:val="bottom"/>
            <w:tcBorders>
              <w:top w:val="single" w:sz="8" w:color="auto"/>
            </w:tcBorders>
            <w:gridSpan w:val="2"/>
            <w:shd w:val="clear" w:color="auto" w:fill="E5E5E5"/>
          </w:tcPr>
          <w:p>
            <w:pPr>
              <w:ind w:left="20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200,978</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2,003,632</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w:t>
            </w:r>
          </w:p>
        </w:tc>
        <w:tc>
          <w:tcPr>
            <w:tcW w:w="40" w:type="dxa"/>
            <w:vAlign w:val="bottom"/>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2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shd w:val="clear" w:color="auto" w:fill="E5E5E5"/>
          </w:tcPr>
          <w:p>
            <w:pPr>
              <w:spacing w:after="0"/>
              <w:rPr>
                <w:sz w:val="16"/>
                <w:szCs w:val="16"/>
                <w:color w:val="auto"/>
              </w:rPr>
            </w:pPr>
          </w:p>
        </w:tc>
        <w:tc>
          <w:tcPr>
            <w:tcW w:w="940" w:type="dxa"/>
            <w:vAlign w:val="bottom"/>
            <w:tcBorders>
              <w:bottom w:val="single" w:sz="8" w:color="auto"/>
            </w:tcBorders>
            <w:shd w:val="clear" w:color="auto" w:fill="E5E5E5"/>
          </w:tcPr>
          <w:p>
            <w:pPr>
              <w:spacing w:after="0"/>
              <w:rPr>
                <w:sz w:val="16"/>
                <w:szCs w:val="16"/>
                <w:color w:val="auto"/>
              </w:rPr>
            </w:pPr>
          </w:p>
        </w:tc>
        <w:tc>
          <w:tcPr>
            <w:tcW w:w="760" w:type="dxa"/>
            <w:vAlign w:val="bottom"/>
            <w:tcBorders>
              <w:bottom w:val="single" w:sz="8" w:color="auto"/>
            </w:tcBorders>
            <w:shd w:val="clear" w:color="auto" w:fill="E5E5E5"/>
          </w:tcPr>
          <w:p>
            <w:pPr>
              <w:spacing w:after="0"/>
              <w:rPr>
                <w:sz w:val="16"/>
                <w:szCs w:val="16"/>
                <w:color w:val="auto"/>
              </w:rPr>
            </w:pPr>
          </w:p>
        </w:tc>
        <w:tc>
          <w:tcPr>
            <w:tcW w:w="102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300" w:type="dxa"/>
            <w:vAlign w:val="bottom"/>
            <w:tcBorders>
              <w:bottom w:val="single" w:sz="8" w:color="auto"/>
            </w:tcBorders>
            <w:shd w:val="clear" w:color="auto" w:fill="E5E5E5"/>
          </w:tcPr>
          <w:p>
            <w:pPr>
              <w:spacing w:after="0"/>
              <w:rPr>
                <w:sz w:val="16"/>
                <w:szCs w:val="16"/>
                <w:color w:val="auto"/>
              </w:rPr>
            </w:pPr>
          </w:p>
        </w:tc>
        <w:tc>
          <w:tcPr>
            <w:tcW w:w="1040" w:type="dxa"/>
            <w:vAlign w:val="bottom"/>
            <w:tcBorders>
              <w:bottom w:val="single" w:sz="8" w:color="auto"/>
            </w:tcBorders>
            <w:shd w:val="clear" w:color="auto" w:fill="E5E5E5"/>
          </w:tcPr>
          <w:p>
            <w:pPr>
              <w:spacing w:after="0"/>
              <w:rPr>
                <w:sz w:val="16"/>
                <w:szCs w:val="16"/>
                <w:color w:val="auto"/>
              </w:rPr>
            </w:pPr>
          </w:p>
        </w:tc>
        <w:tc>
          <w:tcPr>
            <w:tcW w:w="320" w:type="dxa"/>
            <w:vAlign w:val="bottom"/>
            <w:tcBorders>
              <w:bottom w:val="single" w:sz="8" w:color="auto"/>
            </w:tcBorders>
            <w:shd w:val="clear" w:color="auto" w:fill="E5E5E5"/>
          </w:tcPr>
          <w:p>
            <w:pPr>
              <w:spacing w:after="0"/>
              <w:rPr>
                <w:sz w:val="16"/>
                <w:szCs w:val="16"/>
                <w:color w:val="auto"/>
              </w:rPr>
            </w:pPr>
          </w:p>
        </w:tc>
        <w:tc>
          <w:tcPr>
            <w:tcW w:w="800" w:type="dxa"/>
            <w:vAlign w:val="bottom"/>
            <w:tcBorders>
              <w:bottom w:val="single" w:sz="8" w:color="auto"/>
            </w:tcBorders>
            <w:shd w:val="clear" w:color="auto" w:fill="E5E5E5"/>
          </w:tcPr>
          <w:p>
            <w:pPr>
              <w:spacing w:after="0"/>
              <w:rPr>
                <w:sz w:val="16"/>
                <w:szCs w:val="16"/>
                <w:color w:val="auto"/>
              </w:rPr>
            </w:pPr>
          </w:p>
        </w:tc>
        <w:tc>
          <w:tcPr>
            <w:tcW w:w="680" w:type="dxa"/>
            <w:vAlign w:val="bottom"/>
            <w:tcBorders>
              <w:bottom w:val="single" w:sz="8" w:color="auto"/>
            </w:tcBorders>
            <w:shd w:val="clear" w:color="auto" w:fill="E5E5E5"/>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3"/>
        </w:trPr>
        <w:tc>
          <w:tcPr>
            <w:tcW w:w="2220" w:type="dxa"/>
            <w:vAlign w:val="bottom"/>
          </w:tcPr>
          <w:p>
            <w:pPr>
              <w:spacing w:after="0"/>
              <w:rPr>
                <w:sz w:val="20"/>
                <w:szCs w:val="20"/>
                <w:color w:val="auto"/>
              </w:rPr>
            </w:pPr>
            <w:r>
              <w:rPr>
                <w:rFonts w:ascii="Arial" w:cs="Arial" w:eastAsia="Arial" w:hAnsi="Arial"/>
                <w:sz w:val="14"/>
                <w:szCs w:val="14"/>
                <w:b w:val="1"/>
                <w:bCs w:val="1"/>
                <w:color w:val="auto"/>
              </w:rPr>
              <w:t>Tyler Montrone</w:t>
            </w:r>
          </w:p>
        </w:tc>
        <w:tc>
          <w:tcPr>
            <w:tcW w:w="40" w:type="dxa"/>
            <w:vAlign w:val="bottom"/>
          </w:tcPr>
          <w:p>
            <w:pPr>
              <w:spacing w:after="0"/>
              <w:rPr>
                <w:sz w:val="20"/>
                <w:szCs w:val="20"/>
                <w:color w:val="auto"/>
              </w:rPr>
            </w:pPr>
          </w:p>
        </w:tc>
        <w:tc>
          <w:tcPr>
            <w:tcW w:w="600" w:type="dxa"/>
            <w:vAlign w:val="bottom"/>
          </w:tcPr>
          <w:p>
            <w:pPr>
              <w:jc w:val="right"/>
              <w:spacing w:after="0" w:line="233"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​2025</w:t>
            </w: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940" w:type="dxa"/>
            <w:vAlign w:val="bottom"/>
          </w:tcPr>
          <w:p>
            <w:pPr>
              <w:jc w:val="right"/>
              <w:ind w:right="13"/>
              <w:spacing w:after="0" w:line="233" w:lineRule="exact"/>
              <w:rPr>
                <w:sz w:val="20"/>
                <w:szCs w:val="20"/>
                <w:color w:val="auto"/>
              </w:rPr>
            </w:pPr>
            <w:r>
              <w:rPr>
                <w:rFonts w:ascii="Arial" w:cs="Arial" w:eastAsia="Arial" w:hAnsi="Arial"/>
                <w:sz w:val="14"/>
                <w:szCs w:val="14"/>
                <w:color w:val="auto"/>
              </w:rPr>
              <w:t>486,154</w:t>
            </w: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760" w:type="dxa"/>
            <w:vAlign w:val="bottom"/>
          </w:tcPr>
          <w:p>
            <w:pPr>
              <w:jc w:val="right"/>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1020" w:type="dxa"/>
            <w:vAlign w:val="bottom"/>
          </w:tcPr>
          <w:p>
            <w:pPr>
              <w:jc w:val="right"/>
              <w:ind w:right="93"/>
              <w:spacing w:after="0" w:line="233" w:lineRule="exact"/>
              <w:rPr>
                <w:sz w:val="20"/>
                <w:szCs w:val="20"/>
                <w:color w:val="auto"/>
              </w:rPr>
            </w:pPr>
            <w:r>
              <w:rPr>
                <w:rFonts w:ascii="Arial" w:cs="Arial" w:eastAsia="Arial" w:hAnsi="Arial"/>
                <w:sz w:val="14"/>
                <w:szCs w:val="14"/>
                <w:color w:val="auto"/>
              </w:rPr>
              <w:t>844,579</w:t>
            </w: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480" w:type="dxa"/>
            <w:vAlign w:val="bottom"/>
          </w:tcPr>
          <w:p>
            <w:pPr>
              <w:jc w:val="right"/>
              <w:ind w:right="13"/>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3"/>
              <w:spacing w:after="0" w:line="233" w:lineRule="exact"/>
              <w:rPr>
                <w:sz w:val="20"/>
                <w:szCs w:val="20"/>
                <w:color w:val="auto"/>
              </w:rPr>
            </w:pPr>
            <w:r>
              <w:rPr>
                <w:rFonts w:ascii="Arial" w:cs="Arial" w:eastAsia="Arial" w:hAnsi="Arial"/>
                <w:sz w:val="14"/>
                <w:szCs w:val="14"/>
                <w:color w:val="auto"/>
              </w:rPr>
              <w:t>217,338</w:t>
            </w:r>
            <w:r>
              <w:rPr>
                <w:rFonts w:ascii="Arial" w:cs="Arial" w:eastAsia="Arial" w:hAnsi="Arial"/>
                <w:sz w:val="27"/>
                <w:szCs w:val="27"/>
                <w:color w:val="auto"/>
                <w:vertAlign w:val="superscript"/>
              </w:rPr>
              <w:t>​​​</w:t>
            </w:r>
          </w:p>
        </w:tc>
        <w:tc>
          <w:tcPr>
            <w:tcW w:w="320" w:type="dxa"/>
            <w:vAlign w:val="bottom"/>
          </w:tcPr>
          <w:p>
            <w:pPr>
              <w:ind w:left="200"/>
              <w:spacing w:after="0" w:line="233" w:lineRule="exact"/>
              <w:rPr>
                <w:sz w:val="20"/>
                <w:szCs w:val="20"/>
                <w:color w:val="auto"/>
              </w:rPr>
            </w:pPr>
            <w:r>
              <w:rPr>
                <w:rFonts w:ascii="Arial" w:cs="Arial" w:eastAsia="Arial" w:hAnsi="Arial"/>
                <w:sz w:val="14"/>
                <w:szCs w:val="14"/>
                <w:color w:val="auto"/>
                <w:w w:val="99"/>
              </w:rPr>
              <w:t>​</w:t>
            </w:r>
            <w:r>
              <w:rPr>
                <w:rFonts w:ascii="Arial" w:cs="Arial" w:eastAsia="Arial" w:hAnsi="Arial"/>
                <w:sz w:val="27"/>
                <w:szCs w:val="27"/>
                <w:color w:val="auto"/>
                <w:w w:val="99"/>
                <w:vertAlign w:val="subscript"/>
              </w:rPr>
              <w:t>$</w:t>
            </w:r>
          </w:p>
        </w:tc>
        <w:tc>
          <w:tcPr>
            <w:tcW w:w="800" w:type="dxa"/>
            <w:vAlign w:val="bottom"/>
          </w:tcPr>
          <w:p>
            <w:pPr>
              <w:ind w:left="140"/>
              <w:spacing w:after="0" w:line="233" w:lineRule="exact"/>
              <w:rPr>
                <w:sz w:val="20"/>
                <w:szCs w:val="20"/>
                <w:color w:val="auto"/>
              </w:rPr>
            </w:pPr>
            <w:r>
              <w:rPr>
                <w:rFonts w:ascii="Arial" w:cs="Arial" w:eastAsia="Arial" w:hAnsi="Arial"/>
                <w:sz w:val="14"/>
                <w:szCs w:val="14"/>
                <w:color w:val="auto"/>
              </w:rPr>
              <w:t>32,500</w:t>
            </w: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1,580,571</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2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Executive Vice President −</w:t>
            </w: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5E5E5"/>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​2024</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940" w:type="dxa"/>
            <w:vAlign w:val="bottom"/>
            <w:shd w:val="clear" w:color="auto" w:fill="E5E5E5"/>
          </w:tcPr>
          <w:p>
            <w:pPr>
              <w:jc w:val="right"/>
              <w:ind w:right="13"/>
              <w:spacing w:after="0" w:line="176" w:lineRule="exact"/>
              <w:rPr>
                <w:sz w:val="20"/>
                <w:szCs w:val="20"/>
                <w:color w:val="auto"/>
              </w:rPr>
            </w:pPr>
            <w:r>
              <w:rPr>
                <w:rFonts w:ascii="Arial" w:cs="Arial" w:eastAsia="Arial" w:hAnsi="Arial"/>
                <w:sz w:val="12"/>
                <w:szCs w:val="12"/>
                <w:color w:val="auto"/>
              </w:rPr>
              <w:t>469,231</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760" w:type="dxa"/>
            <w:vAlign w:val="bottom"/>
            <w:shd w:val="clear" w:color="auto" w:fill="E5E5E5"/>
          </w:tcPr>
          <w:p>
            <w:pPr>
              <w:jc w:val="right"/>
              <w:spacing w:after="0" w:line="176" w:lineRule="exact"/>
              <w:rPr>
                <w:sz w:val="20"/>
                <w:szCs w:val="20"/>
                <w:color w:val="auto"/>
              </w:rPr>
            </w:pPr>
            <w:r>
              <w:rPr>
                <w:rFonts w:ascii="Arial" w:cs="Arial" w:eastAsia="Arial" w:hAnsi="Arial"/>
                <w:sz w:val="20"/>
                <w:szCs w:val="20"/>
                <w:color w:val="auto"/>
                <w:vertAlign w:val="subscript"/>
              </w:rPr>
              <w:t>500</w:t>
            </w: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1020" w:type="dxa"/>
            <w:vAlign w:val="bottom"/>
            <w:shd w:val="clear" w:color="auto" w:fill="E5E5E5"/>
          </w:tcPr>
          <w:p>
            <w:pPr>
              <w:jc w:val="right"/>
              <w:ind w:right="93"/>
              <w:spacing w:after="0" w:line="176" w:lineRule="exact"/>
              <w:rPr>
                <w:sz w:val="20"/>
                <w:szCs w:val="20"/>
                <w:color w:val="auto"/>
              </w:rPr>
            </w:pPr>
            <w:r>
              <w:rPr>
                <w:rFonts w:ascii="Arial" w:cs="Arial" w:eastAsia="Arial" w:hAnsi="Arial"/>
                <w:sz w:val="12"/>
                <w:szCs w:val="12"/>
                <w:color w:val="auto"/>
              </w:rPr>
              <w:t>890,655</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80" w:type="dxa"/>
            <w:vAlign w:val="bottom"/>
            <w:shd w:val="clear" w:color="auto" w:fill="E5E5E5"/>
          </w:tcPr>
          <w:p>
            <w:pPr>
              <w:jc w:val="right"/>
              <w:ind w:right="13"/>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33"/>
              <w:spacing w:after="0" w:line="176" w:lineRule="exact"/>
              <w:rPr>
                <w:sz w:val="20"/>
                <w:szCs w:val="20"/>
                <w:color w:val="auto"/>
              </w:rPr>
            </w:pPr>
            <w:r>
              <w:rPr>
                <w:rFonts w:ascii="Arial" w:cs="Arial" w:eastAsia="Arial" w:hAnsi="Arial"/>
                <w:sz w:val="12"/>
                <w:szCs w:val="12"/>
                <w:color w:val="auto"/>
              </w:rPr>
              <w:t>285,000</w:t>
            </w:r>
            <w:r>
              <w:rPr>
                <w:rFonts w:ascii="Arial" w:cs="Arial" w:eastAsia="Arial" w:hAnsi="Arial"/>
                <w:sz w:val="20"/>
                <w:szCs w:val="20"/>
                <w:color w:val="auto"/>
                <w:vertAlign w:val="superscript"/>
              </w:rPr>
              <w:t>​​​</w:t>
            </w:r>
          </w:p>
        </w:tc>
        <w:tc>
          <w:tcPr>
            <w:tcW w:w="320" w:type="dxa"/>
            <w:vAlign w:val="bottom"/>
            <w:shd w:val="clear" w:color="auto" w:fill="E5E5E5"/>
          </w:tcPr>
          <w:p>
            <w:pPr>
              <w:ind w:left="200"/>
              <w:spacing w:after="0" w:line="176"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800" w:type="dxa"/>
            <w:vAlign w:val="bottom"/>
            <w:shd w:val="clear" w:color="auto" w:fill="E5E5E5"/>
          </w:tcPr>
          <w:p>
            <w:pPr>
              <w:ind w:left="140"/>
              <w:spacing w:after="0" w:line="176" w:lineRule="exact"/>
              <w:rPr>
                <w:sz w:val="20"/>
                <w:szCs w:val="20"/>
                <w:color w:val="auto"/>
              </w:rPr>
            </w:pPr>
            <w:r>
              <w:rPr>
                <w:rFonts w:ascii="Arial" w:cs="Arial" w:eastAsia="Arial" w:hAnsi="Arial"/>
                <w:sz w:val="12"/>
                <w:szCs w:val="12"/>
                <w:color w:val="auto"/>
              </w:rPr>
              <w:t>34,995</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1,680,381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2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Acima</w:t>
            </w:r>
          </w:p>
        </w:tc>
        <w:tc>
          <w:tcPr>
            <w:tcW w:w="40" w:type="dxa"/>
            <w:vAlign w:val="bottom"/>
          </w:tcPr>
          <w:p>
            <w:pPr>
              <w:spacing w:after="0"/>
              <w:rPr>
                <w:sz w:val="5"/>
                <w:szCs w:val="5"/>
                <w:color w:val="auto"/>
              </w:rPr>
            </w:pPr>
          </w:p>
        </w:tc>
        <w:tc>
          <w:tcPr>
            <w:tcW w:w="600" w:type="dxa"/>
            <w:vAlign w:val="bottom"/>
            <w:shd w:val="clear" w:color="auto" w:fill="E5E5E5"/>
          </w:tcPr>
          <w:p>
            <w:pPr>
              <w:spacing w:after="0"/>
              <w:rPr>
                <w:sz w:val="5"/>
                <w:szCs w:val="5"/>
                <w:color w:val="auto"/>
              </w:rPr>
            </w:pPr>
          </w:p>
        </w:tc>
        <w:tc>
          <w:tcPr>
            <w:tcW w:w="940" w:type="dxa"/>
            <w:vAlign w:val="bottom"/>
            <w:shd w:val="clear" w:color="auto" w:fill="E5E5E5"/>
          </w:tcPr>
          <w:p>
            <w:pPr>
              <w:spacing w:after="0"/>
              <w:rPr>
                <w:sz w:val="5"/>
                <w:szCs w:val="5"/>
                <w:color w:val="auto"/>
              </w:rPr>
            </w:pPr>
          </w:p>
        </w:tc>
        <w:tc>
          <w:tcPr>
            <w:tcW w:w="760" w:type="dxa"/>
            <w:vAlign w:val="bottom"/>
            <w:shd w:val="clear" w:color="auto" w:fill="E5E5E5"/>
          </w:tcPr>
          <w:p>
            <w:pPr>
              <w:spacing w:after="0"/>
              <w:rPr>
                <w:sz w:val="5"/>
                <w:szCs w:val="5"/>
                <w:color w:val="auto"/>
              </w:rPr>
            </w:pPr>
          </w:p>
        </w:tc>
        <w:tc>
          <w:tcPr>
            <w:tcW w:w="1020" w:type="dxa"/>
            <w:vAlign w:val="bottom"/>
            <w:shd w:val="clear" w:color="auto" w:fill="E5E5E5"/>
          </w:tcPr>
          <w:p>
            <w:pPr>
              <w:spacing w:after="0"/>
              <w:rPr>
                <w:sz w:val="5"/>
                <w:szCs w:val="5"/>
                <w:color w:val="auto"/>
              </w:rPr>
            </w:pPr>
          </w:p>
        </w:tc>
        <w:tc>
          <w:tcPr>
            <w:tcW w:w="480" w:type="dxa"/>
            <w:vAlign w:val="bottom"/>
            <w:shd w:val="clear" w:color="auto" w:fill="E5E5E5"/>
          </w:tcPr>
          <w:p>
            <w:pPr>
              <w:spacing w:after="0"/>
              <w:rPr>
                <w:sz w:val="5"/>
                <w:szCs w:val="5"/>
                <w:color w:val="auto"/>
              </w:rPr>
            </w:pPr>
          </w:p>
        </w:tc>
        <w:tc>
          <w:tcPr>
            <w:tcW w:w="300" w:type="dxa"/>
            <w:vAlign w:val="bottom"/>
            <w:shd w:val="clear" w:color="auto" w:fill="E5E5E5"/>
          </w:tcPr>
          <w:p>
            <w:pPr>
              <w:spacing w:after="0"/>
              <w:rPr>
                <w:sz w:val="5"/>
                <w:szCs w:val="5"/>
                <w:color w:val="auto"/>
              </w:rPr>
            </w:pPr>
          </w:p>
        </w:tc>
        <w:tc>
          <w:tcPr>
            <w:tcW w:w="1040" w:type="dxa"/>
            <w:vAlign w:val="bottom"/>
            <w:shd w:val="clear" w:color="auto" w:fill="E5E5E5"/>
          </w:tcPr>
          <w:p>
            <w:pPr>
              <w:spacing w:after="0"/>
              <w:rPr>
                <w:sz w:val="5"/>
                <w:szCs w:val="5"/>
                <w:color w:val="auto"/>
              </w:rPr>
            </w:pPr>
          </w:p>
        </w:tc>
        <w:tc>
          <w:tcPr>
            <w:tcW w:w="320" w:type="dxa"/>
            <w:vAlign w:val="bottom"/>
            <w:shd w:val="clear" w:color="auto" w:fill="E5E5E5"/>
          </w:tcPr>
          <w:p>
            <w:pPr>
              <w:spacing w:after="0"/>
              <w:rPr>
                <w:sz w:val="5"/>
                <w:szCs w:val="5"/>
                <w:color w:val="auto"/>
              </w:rPr>
            </w:pPr>
          </w:p>
        </w:tc>
        <w:tc>
          <w:tcPr>
            <w:tcW w:w="800" w:type="dxa"/>
            <w:vAlign w:val="bottom"/>
            <w:shd w:val="clear" w:color="auto" w:fill="E5E5E5"/>
          </w:tcPr>
          <w:p>
            <w:pPr>
              <w:spacing w:after="0"/>
              <w:rPr>
                <w:sz w:val="5"/>
                <w:szCs w:val="5"/>
                <w:color w:val="auto"/>
              </w:rPr>
            </w:pPr>
          </w:p>
        </w:tc>
        <w:tc>
          <w:tcPr>
            <w:tcW w:w="680" w:type="dxa"/>
            <w:vAlign w:val="bottom"/>
            <w:shd w:val="clear" w:color="auto" w:fill="E5E5E5"/>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restart"/>
          </w:tcPr>
          <w:p>
            <w:pPr>
              <w:jc w:val="right"/>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940" w:type="dxa"/>
            <w:vAlign w:val="bottom"/>
            <w:vMerge w:val="restart"/>
          </w:tcPr>
          <w:p>
            <w:pPr>
              <w:jc w:val="right"/>
              <w:ind w:right="13"/>
              <w:spacing w:after="0" w:line="243" w:lineRule="exact"/>
              <w:rPr>
                <w:sz w:val="20"/>
                <w:szCs w:val="20"/>
                <w:color w:val="auto"/>
              </w:rPr>
            </w:pPr>
            <w:r>
              <w:rPr>
                <w:rFonts w:ascii="Arial" w:cs="Arial" w:eastAsia="Arial" w:hAnsi="Arial"/>
                <w:sz w:val="14"/>
                <w:szCs w:val="14"/>
                <w:color w:val="auto"/>
              </w:rPr>
              <w:t>440,385</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60" w:type="dxa"/>
            <w:vAlign w:val="bottom"/>
            <w:vMerge w:val="restart"/>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1020" w:type="dxa"/>
            <w:vAlign w:val="bottom"/>
            <w:vMerge w:val="restart"/>
          </w:tcPr>
          <w:p>
            <w:pPr>
              <w:jc w:val="right"/>
              <w:ind w:right="93"/>
              <w:spacing w:after="0" w:line="243" w:lineRule="exact"/>
              <w:rPr>
                <w:sz w:val="20"/>
                <w:szCs w:val="20"/>
                <w:color w:val="auto"/>
              </w:rPr>
            </w:pPr>
            <w:r>
              <w:rPr>
                <w:rFonts w:ascii="Arial" w:cs="Arial" w:eastAsia="Arial" w:hAnsi="Arial"/>
                <w:sz w:val="14"/>
                <w:szCs w:val="14"/>
                <w:color w:val="auto"/>
              </w:rPr>
              <w:t>897,446</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80" w:type="dxa"/>
            <w:vAlign w:val="bottom"/>
            <w:vMerge w:val="restart"/>
          </w:tcPr>
          <w:p>
            <w:pPr>
              <w:jc w:val="right"/>
              <w:ind w:right="13"/>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33"/>
              <w:spacing w:after="0" w:line="243" w:lineRule="exact"/>
              <w:rPr>
                <w:sz w:val="20"/>
                <w:szCs w:val="20"/>
                <w:color w:val="auto"/>
              </w:rPr>
            </w:pPr>
            <w:r>
              <w:rPr>
                <w:rFonts w:ascii="Arial" w:cs="Arial" w:eastAsia="Arial" w:hAnsi="Arial"/>
                <w:sz w:val="14"/>
                <w:szCs w:val="14"/>
                <w:color w:val="auto"/>
              </w:rPr>
              <w:t>388,800</w:t>
            </w:r>
            <w:r>
              <w:rPr>
                <w:rFonts w:ascii="Arial" w:cs="Arial" w:eastAsia="Arial" w:hAnsi="Arial"/>
                <w:sz w:val="28"/>
                <w:szCs w:val="28"/>
                <w:color w:val="auto"/>
                <w:vertAlign w:val="superscript"/>
              </w:rPr>
              <w:t>​​​</w:t>
            </w:r>
          </w:p>
        </w:tc>
        <w:tc>
          <w:tcPr>
            <w:tcW w:w="320" w:type="dxa"/>
            <w:vAlign w:val="bottom"/>
            <w:vMerge w:val="restart"/>
          </w:tcPr>
          <w:p>
            <w:pPr>
              <w:ind w:left="2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800" w:type="dxa"/>
            <w:vAlign w:val="bottom"/>
            <w:vMerge w:val="restart"/>
          </w:tcPr>
          <w:p>
            <w:pPr>
              <w:ind w:left="140"/>
              <w:spacing w:after="0" w:line="243" w:lineRule="exact"/>
              <w:rPr>
                <w:sz w:val="20"/>
                <w:szCs w:val="20"/>
                <w:color w:val="auto"/>
              </w:rPr>
            </w:pPr>
            <w:r>
              <w:rPr>
                <w:rFonts w:ascii="Arial" w:cs="Arial" w:eastAsia="Arial" w:hAnsi="Arial"/>
                <w:sz w:val="14"/>
                <w:szCs w:val="14"/>
                <w:color w:val="auto"/>
              </w:rPr>
              <w:t>35,504</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20" w:type="dxa"/>
            <w:vAlign w:val="bottom"/>
            <w:gridSpan w:val="2"/>
            <w:vMerge w:val="restart"/>
          </w:tcPr>
          <w:p>
            <w:pPr>
              <w:jc w:val="right"/>
              <w:spacing w:after="0" w:line="243" w:lineRule="exact"/>
              <w:rPr>
                <w:sz w:val="20"/>
                <w:szCs w:val="20"/>
                <w:color w:val="auto"/>
              </w:rPr>
            </w:pPr>
            <w:r>
              <w:rPr>
                <w:rFonts w:ascii="Arial" w:cs="Arial" w:eastAsia="Arial" w:hAnsi="Arial"/>
                <w:sz w:val="14"/>
                <w:szCs w:val="14"/>
                <w:color w:val="auto"/>
              </w:rPr>
              <w:t>1,762,135</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Anthony Blasquez</w:t>
            </w:r>
          </w:p>
        </w:tc>
        <w:tc>
          <w:tcPr>
            <w:tcW w:w="40" w:type="dxa"/>
            <w:vAlign w:val="bottom"/>
            <w:tcBorders>
              <w:top w:val="single" w:sz="8" w:color="auto"/>
            </w:tcBorders>
          </w:tcPr>
          <w:p>
            <w:pPr>
              <w:spacing w:after="0"/>
              <w:rPr>
                <w:sz w:val="21"/>
                <w:szCs w:val="21"/>
                <w:color w:val="auto"/>
              </w:rPr>
            </w:pPr>
          </w:p>
        </w:tc>
        <w:tc>
          <w:tcPr>
            <w:tcW w:w="600" w:type="dxa"/>
            <w:vAlign w:val="bottom"/>
            <w:tcBorders>
              <w:top w:val="single" w:sz="8" w:color="auto"/>
              <w:bottom w:val="single" w:sz="8" w:color="E5E5E5"/>
            </w:tcBorders>
            <w:shd w:val="clear" w:color="auto" w:fill="E5E5E5"/>
          </w:tcPr>
          <w:p>
            <w:pPr>
              <w:jc w:val="right"/>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​2025</w:t>
            </w: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940" w:type="dxa"/>
            <w:vAlign w:val="bottom"/>
            <w:tcBorders>
              <w:top w:val="single" w:sz="8" w:color="auto"/>
              <w:bottom w:val="single" w:sz="8" w:color="E5E5E5"/>
            </w:tcBorders>
            <w:shd w:val="clear" w:color="auto" w:fill="E5E5E5"/>
          </w:tcPr>
          <w:p>
            <w:pPr>
              <w:jc w:val="right"/>
              <w:ind w:right="13"/>
              <w:spacing w:after="0" w:line="230" w:lineRule="exact"/>
              <w:rPr>
                <w:sz w:val="20"/>
                <w:szCs w:val="20"/>
                <w:color w:val="auto"/>
              </w:rPr>
            </w:pPr>
            <w:r>
              <w:rPr>
                <w:rFonts w:ascii="Arial" w:cs="Arial" w:eastAsia="Arial" w:hAnsi="Arial"/>
                <w:sz w:val="14"/>
                <w:szCs w:val="14"/>
                <w:color w:val="auto"/>
              </w:rPr>
              <w:t>482,308</w:t>
            </w:r>
            <w:r>
              <w:rPr>
                <w:rFonts w:ascii="Arial" w:cs="Arial" w:eastAsia="Arial" w:hAnsi="Arial"/>
                <w:sz w:val="26"/>
                <w:szCs w:val="26"/>
                <w:color w:val="auto"/>
                <w:vertAlign w:val="superscript"/>
              </w:rPr>
              <w:t>​​​​</w:t>
            </w:r>
            <w:r>
              <w:rPr>
                <w:rFonts w:ascii="Arial" w:cs="Arial" w:eastAsia="Arial" w:hAnsi="Arial"/>
                <w:sz w:val="14"/>
                <w:szCs w:val="14"/>
                <w:color w:val="auto"/>
              </w:rPr>
              <w:t>$</w:t>
            </w:r>
          </w:p>
        </w:tc>
        <w:tc>
          <w:tcPr>
            <w:tcW w:w="760" w:type="dxa"/>
            <w:vAlign w:val="bottom"/>
            <w:tcBorders>
              <w:top w:val="single" w:sz="8" w:color="auto"/>
              <w:bottom w:val="single" w:sz="8" w:color="E5E5E5"/>
            </w:tcBorders>
            <w:shd w:val="clear" w:color="auto" w:fill="E5E5E5"/>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1020" w:type="dxa"/>
            <w:vAlign w:val="bottom"/>
            <w:tcBorders>
              <w:top w:val="single" w:sz="8" w:color="auto"/>
              <w:bottom w:val="single" w:sz="8" w:color="E5E5E5"/>
            </w:tcBorders>
            <w:shd w:val="clear" w:color="auto" w:fill="E5E5E5"/>
          </w:tcPr>
          <w:p>
            <w:pPr>
              <w:jc w:val="right"/>
              <w:ind w:right="93"/>
              <w:spacing w:after="0" w:line="230" w:lineRule="exact"/>
              <w:rPr>
                <w:sz w:val="20"/>
                <w:szCs w:val="20"/>
                <w:color w:val="auto"/>
              </w:rPr>
            </w:pPr>
            <w:r>
              <w:rPr>
                <w:rFonts w:ascii="Arial" w:cs="Arial" w:eastAsia="Arial" w:hAnsi="Arial"/>
                <w:sz w:val="14"/>
                <w:szCs w:val="14"/>
                <w:color w:val="auto"/>
              </w:rPr>
              <w:t>835,952</w:t>
            </w:r>
            <w:r>
              <w:rPr>
                <w:rFonts w:ascii="Arial" w:cs="Arial" w:eastAsia="Arial" w:hAnsi="Arial"/>
                <w:sz w:val="26"/>
                <w:szCs w:val="26"/>
                <w:color w:val="auto"/>
                <w:vertAlign w:val="superscript"/>
              </w:rPr>
              <w:t>​​​​</w:t>
            </w:r>
            <w:r>
              <w:rPr>
                <w:rFonts w:ascii="Arial" w:cs="Arial" w:eastAsia="Arial" w:hAnsi="Arial"/>
                <w:sz w:val="14"/>
                <w:szCs w:val="14"/>
                <w:color w:val="auto"/>
              </w:rPr>
              <w:t>$</w:t>
            </w:r>
          </w:p>
        </w:tc>
        <w:tc>
          <w:tcPr>
            <w:tcW w:w="480" w:type="dxa"/>
            <w:vAlign w:val="bottom"/>
            <w:tcBorders>
              <w:top w:val="single" w:sz="8" w:color="auto"/>
              <w:bottom w:val="single" w:sz="8" w:color="E5E5E5"/>
            </w:tcBorders>
            <w:shd w:val="clear" w:color="auto" w:fill="E5E5E5"/>
          </w:tcPr>
          <w:p>
            <w:pPr>
              <w:jc w:val="right"/>
              <w:ind w:right="13"/>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30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E5E5E5"/>
            </w:tcBorders>
            <w:shd w:val="clear" w:color="auto" w:fill="E5E5E5"/>
          </w:tcPr>
          <w:p>
            <w:pPr>
              <w:jc w:val="right"/>
              <w:ind w:right="133"/>
              <w:spacing w:after="0" w:line="230" w:lineRule="exact"/>
              <w:rPr>
                <w:sz w:val="20"/>
                <w:szCs w:val="20"/>
                <w:color w:val="auto"/>
              </w:rPr>
            </w:pPr>
            <w:r>
              <w:rPr>
                <w:rFonts w:ascii="Arial" w:cs="Arial" w:eastAsia="Arial" w:hAnsi="Arial"/>
                <w:sz w:val="14"/>
                <w:szCs w:val="14"/>
                <w:color w:val="auto"/>
              </w:rPr>
              <w:t>215,118</w:t>
            </w:r>
            <w:r>
              <w:rPr>
                <w:rFonts w:ascii="Arial" w:cs="Arial" w:eastAsia="Arial" w:hAnsi="Arial"/>
                <w:sz w:val="26"/>
                <w:szCs w:val="26"/>
                <w:color w:val="auto"/>
                <w:vertAlign w:val="superscript"/>
              </w:rPr>
              <w:t>​​​</w:t>
            </w:r>
          </w:p>
        </w:tc>
        <w:tc>
          <w:tcPr>
            <w:tcW w:w="320" w:type="dxa"/>
            <w:vAlign w:val="bottom"/>
            <w:tcBorders>
              <w:top w:val="single" w:sz="8" w:color="auto"/>
              <w:bottom w:val="single" w:sz="8" w:color="E5E5E5"/>
            </w:tcBorders>
            <w:shd w:val="clear" w:color="auto" w:fill="E5E5E5"/>
          </w:tcPr>
          <w:p>
            <w:pPr>
              <w:ind w:left="20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800" w:type="dxa"/>
            <w:vAlign w:val="bottom"/>
            <w:tcBorders>
              <w:top w:val="single" w:sz="8" w:color="auto"/>
              <w:bottom w:val="single" w:sz="8" w:color="E5E5E5"/>
            </w:tcBorders>
            <w:shd w:val="clear" w:color="auto" w:fill="E5E5E5"/>
          </w:tcPr>
          <w:p>
            <w:pPr>
              <w:ind w:left="140"/>
              <w:spacing w:after="0" w:line="230" w:lineRule="exact"/>
              <w:rPr>
                <w:sz w:val="20"/>
                <w:szCs w:val="20"/>
                <w:color w:val="auto"/>
              </w:rPr>
            </w:pPr>
            <w:r>
              <w:rPr>
                <w:rFonts w:ascii="Arial" w:cs="Arial" w:eastAsia="Arial" w:hAnsi="Arial"/>
                <w:sz w:val="14"/>
                <w:szCs w:val="14"/>
                <w:color w:val="auto"/>
              </w:rPr>
              <w:t>39,379</w:t>
            </w:r>
            <w:r>
              <w:rPr>
                <w:rFonts w:ascii="Arial" w:cs="Arial" w:eastAsia="Arial" w:hAnsi="Arial"/>
                <w:sz w:val="26"/>
                <w:szCs w:val="26"/>
                <w:color w:val="auto"/>
                <w:vertAlign w:val="superscript"/>
              </w:rPr>
              <w:t>​​​​</w:t>
            </w:r>
            <w:r>
              <w:rPr>
                <w:rFonts w:ascii="Arial" w:cs="Arial" w:eastAsia="Arial" w:hAnsi="Arial"/>
                <w:sz w:val="14"/>
                <w:szCs w:val="14"/>
                <w:color w:val="auto"/>
              </w:rPr>
              <w:t>$</w:t>
            </w:r>
          </w:p>
        </w:tc>
        <w:tc>
          <w:tcPr>
            <w:tcW w:w="68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1,572,757</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line="154" w:lineRule="exact"/>
              <w:rPr>
                <w:sz w:val="20"/>
                <w:szCs w:val="20"/>
                <w:color w:val="auto"/>
              </w:rPr>
            </w:pPr>
            <w:r>
              <w:rPr>
                <w:rFonts w:ascii="Arial" w:cs="Arial" w:eastAsia="Arial" w:hAnsi="Arial"/>
                <w:sz w:val="14"/>
                <w:szCs w:val="14"/>
                <w:i w:val="1"/>
                <w:iCs w:val="1"/>
                <w:color w:val="auto"/>
              </w:rPr>
              <w:t>Executive Vice President −</w:t>
            </w:r>
          </w:p>
        </w:tc>
        <w:tc>
          <w:tcPr>
            <w:tcW w:w="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​2024</w:t>
            </w: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940" w:type="dxa"/>
            <w:vAlign w:val="bottom"/>
          </w:tcPr>
          <w:p>
            <w:pPr>
              <w:jc w:val="right"/>
              <w:ind w:right="13"/>
              <w:spacing w:after="0" w:line="176" w:lineRule="exact"/>
              <w:rPr>
                <w:sz w:val="20"/>
                <w:szCs w:val="20"/>
                <w:color w:val="auto"/>
              </w:rPr>
            </w:pPr>
            <w:r>
              <w:rPr>
                <w:rFonts w:ascii="Arial" w:cs="Arial" w:eastAsia="Arial" w:hAnsi="Arial"/>
                <w:sz w:val="12"/>
                <w:szCs w:val="12"/>
                <w:color w:val="auto"/>
              </w:rPr>
              <w:t>469,231</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1020" w:type="dxa"/>
            <w:vAlign w:val="bottom"/>
          </w:tcPr>
          <w:p>
            <w:pPr>
              <w:jc w:val="right"/>
              <w:ind w:right="93"/>
              <w:spacing w:after="0" w:line="176" w:lineRule="exact"/>
              <w:rPr>
                <w:sz w:val="20"/>
                <w:szCs w:val="20"/>
                <w:color w:val="auto"/>
              </w:rPr>
            </w:pPr>
            <w:r>
              <w:rPr>
                <w:rFonts w:ascii="Arial" w:cs="Arial" w:eastAsia="Arial" w:hAnsi="Arial"/>
                <w:sz w:val="12"/>
                <w:szCs w:val="12"/>
                <w:color w:val="auto"/>
              </w:rPr>
              <w:t>890,655</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80" w:type="dxa"/>
            <w:vAlign w:val="bottom"/>
          </w:tcPr>
          <w:p>
            <w:pPr>
              <w:jc w:val="right"/>
              <w:ind w:right="13"/>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3"/>
              <w:spacing w:after="0" w:line="176" w:lineRule="exact"/>
              <w:rPr>
                <w:sz w:val="20"/>
                <w:szCs w:val="20"/>
                <w:color w:val="auto"/>
              </w:rPr>
            </w:pPr>
            <w:r>
              <w:rPr>
                <w:rFonts w:ascii="Arial" w:cs="Arial" w:eastAsia="Arial" w:hAnsi="Arial"/>
                <w:sz w:val="12"/>
                <w:szCs w:val="12"/>
                <w:color w:val="auto"/>
              </w:rPr>
              <w:t>285,000</w:t>
            </w:r>
            <w:r>
              <w:rPr>
                <w:rFonts w:ascii="Arial" w:cs="Arial" w:eastAsia="Arial" w:hAnsi="Arial"/>
                <w:sz w:val="20"/>
                <w:szCs w:val="20"/>
                <w:color w:val="auto"/>
                <w:vertAlign w:val="superscript"/>
              </w:rPr>
              <w:t>​​​</w:t>
            </w:r>
          </w:p>
        </w:tc>
        <w:tc>
          <w:tcPr>
            <w:tcW w:w="320" w:type="dxa"/>
            <w:vAlign w:val="bottom"/>
          </w:tcPr>
          <w:p>
            <w:pPr>
              <w:ind w:left="200"/>
              <w:spacing w:after="0" w:line="176"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800" w:type="dxa"/>
            <w:vAlign w:val="bottom"/>
          </w:tcPr>
          <w:p>
            <w:pPr>
              <w:ind w:left="140"/>
              <w:spacing w:after="0" w:line="176" w:lineRule="exact"/>
              <w:rPr>
                <w:sz w:val="20"/>
                <w:szCs w:val="20"/>
                <w:color w:val="auto"/>
              </w:rPr>
            </w:pPr>
            <w:r>
              <w:rPr>
                <w:rFonts w:ascii="Arial" w:cs="Arial" w:eastAsia="Arial" w:hAnsi="Arial"/>
                <w:sz w:val="12"/>
                <w:szCs w:val="12"/>
                <w:color w:val="auto"/>
              </w:rPr>
              <w:t>32,778</w:t>
            </w: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1,677,664</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2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Rent-A-Center</w:t>
            </w: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restart"/>
            <w:shd w:val="clear" w:color="auto" w:fill="E5E5E5"/>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​2023</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940" w:type="dxa"/>
            <w:vAlign w:val="bottom"/>
            <w:vMerge w:val="restart"/>
            <w:shd w:val="clear" w:color="auto" w:fill="E5E5E5"/>
          </w:tcPr>
          <w:p>
            <w:pPr>
              <w:jc w:val="right"/>
              <w:ind w:right="13"/>
              <w:spacing w:after="0" w:line="243" w:lineRule="exact"/>
              <w:rPr>
                <w:sz w:val="20"/>
                <w:szCs w:val="20"/>
                <w:color w:val="auto"/>
              </w:rPr>
            </w:pPr>
            <w:r>
              <w:rPr>
                <w:rFonts w:ascii="Arial" w:cs="Arial" w:eastAsia="Arial" w:hAnsi="Arial"/>
                <w:sz w:val="14"/>
                <w:szCs w:val="14"/>
                <w:color w:val="auto"/>
              </w:rPr>
              <w:t>444,554</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60" w:type="dxa"/>
            <w:vAlign w:val="bottom"/>
            <w:vMerge w:val="restart"/>
            <w:shd w:val="clear" w:color="auto" w:fill="E5E5E5"/>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1020" w:type="dxa"/>
            <w:vAlign w:val="bottom"/>
            <w:vMerge w:val="restart"/>
            <w:shd w:val="clear" w:color="auto" w:fill="E5E5E5"/>
          </w:tcPr>
          <w:p>
            <w:pPr>
              <w:jc w:val="right"/>
              <w:ind w:right="93"/>
              <w:spacing w:after="0" w:line="243" w:lineRule="exact"/>
              <w:rPr>
                <w:sz w:val="20"/>
                <w:szCs w:val="20"/>
                <w:color w:val="auto"/>
              </w:rPr>
            </w:pPr>
            <w:r>
              <w:rPr>
                <w:rFonts w:ascii="Arial" w:cs="Arial" w:eastAsia="Arial" w:hAnsi="Arial"/>
                <w:sz w:val="14"/>
                <w:szCs w:val="14"/>
                <w:color w:val="auto"/>
              </w:rPr>
              <w:t>897,446</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80" w:type="dxa"/>
            <w:vAlign w:val="bottom"/>
            <w:vMerge w:val="restart"/>
            <w:shd w:val="clear" w:color="auto" w:fill="E5E5E5"/>
          </w:tcPr>
          <w:p>
            <w:pPr>
              <w:jc w:val="right"/>
              <w:ind w:right="13"/>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5E5E5"/>
          </w:tcPr>
          <w:p>
            <w:pPr>
              <w:jc w:val="right"/>
              <w:ind w:right="133"/>
              <w:spacing w:after="0" w:line="243" w:lineRule="exact"/>
              <w:rPr>
                <w:sz w:val="20"/>
                <w:szCs w:val="20"/>
                <w:color w:val="auto"/>
              </w:rPr>
            </w:pPr>
            <w:r>
              <w:rPr>
                <w:rFonts w:ascii="Arial" w:cs="Arial" w:eastAsia="Arial" w:hAnsi="Arial"/>
                <w:sz w:val="14"/>
                <w:szCs w:val="14"/>
                <w:color w:val="auto"/>
              </w:rPr>
              <w:t>388,800</w:t>
            </w:r>
            <w:r>
              <w:rPr>
                <w:rFonts w:ascii="Arial" w:cs="Arial" w:eastAsia="Arial" w:hAnsi="Arial"/>
                <w:sz w:val="28"/>
                <w:szCs w:val="28"/>
                <w:color w:val="auto"/>
                <w:vertAlign w:val="superscript"/>
              </w:rPr>
              <w:t>​​​</w:t>
            </w:r>
          </w:p>
        </w:tc>
        <w:tc>
          <w:tcPr>
            <w:tcW w:w="320" w:type="dxa"/>
            <w:vAlign w:val="bottom"/>
            <w:vMerge w:val="restart"/>
            <w:shd w:val="clear" w:color="auto" w:fill="E5E5E5"/>
          </w:tcPr>
          <w:p>
            <w:pPr>
              <w:ind w:left="200"/>
              <w:spacing w:after="0" w:line="243" w:lineRule="exact"/>
              <w:rPr>
                <w:sz w:val="20"/>
                <w:szCs w:val="20"/>
                <w:color w:val="auto"/>
              </w:rPr>
            </w:pPr>
            <w:r>
              <w:rPr>
                <w:rFonts w:ascii="Arial" w:cs="Arial" w:eastAsia="Arial" w:hAnsi="Arial"/>
                <w:sz w:val="14"/>
                <w:szCs w:val="14"/>
                <w:color w:val="auto"/>
                <w:w w:val="95"/>
              </w:rPr>
              <w:t>​</w:t>
            </w:r>
            <w:r>
              <w:rPr>
                <w:rFonts w:ascii="Arial" w:cs="Arial" w:eastAsia="Arial" w:hAnsi="Arial"/>
                <w:sz w:val="28"/>
                <w:szCs w:val="28"/>
                <w:color w:val="auto"/>
                <w:w w:val="95"/>
                <w:vertAlign w:val="subscript"/>
              </w:rPr>
              <w:t>$</w:t>
            </w:r>
          </w:p>
        </w:tc>
        <w:tc>
          <w:tcPr>
            <w:tcW w:w="800" w:type="dxa"/>
            <w:vAlign w:val="bottom"/>
            <w:vMerge w:val="restart"/>
            <w:shd w:val="clear" w:color="auto" w:fill="E5E5E5"/>
          </w:tcPr>
          <w:p>
            <w:pPr>
              <w:ind w:left="140"/>
              <w:spacing w:after="0" w:line="243" w:lineRule="exact"/>
              <w:rPr>
                <w:sz w:val="20"/>
                <w:szCs w:val="20"/>
                <w:color w:val="auto"/>
              </w:rPr>
            </w:pPr>
            <w:r>
              <w:rPr>
                <w:rFonts w:ascii="Arial" w:cs="Arial" w:eastAsia="Arial" w:hAnsi="Arial"/>
                <w:sz w:val="14"/>
                <w:szCs w:val="14"/>
                <w:color w:val="auto"/>
              </w:rPr>
              <w:t>33,236</w:t>
            </w: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1,764,036</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shd w:val="clear" w:color="auto" w:fill="E5E5E5"/>
          </w:tcPr>
          <w:p>
            <w:pPr>
              <w:spacing w:after="0"/>
              <w:rPr>
                <w:sz w:val="10"/>
                <w:szCs w:val="10"/>
                <w:color w:val="auto"/>
              </w:rPr>
            </w:pPr>
          </w:p>
        </w:tc>
        <w:tc>
          <w:tcPr>
            <w:tcW w:w="940" w:type="dxa"/>
            <w:vAlign w:val="bottom"/>
            <w:tcBorders>
              <w:bottom w:val="single" w:sz="8" w:color="auto"/>
            </w:tcBorders>
            <w:vMerge w:val="continue"/>
            <w:shd w:val="clear" w:color="auto" w:fill="E5E5E5"/>
          </w:tcPr>
          <w:p>
            <w:pPr>
              <w:spacing w:after="0"/>
              <w:rPr>
                <w:sz w:val="10"/>
                <w:szCs w:val="10"/>
                <w:color w:val="auto"/>
              </w:rPr>
            </w:pPr>
          </w:p>
        </w:tc>
        <w:tc>
          <w:tcPr>
            <w:tcW w:w="760" w:type="dxa"/>
            <w:vAlign w:val="bottom"/>
            <w:tcBorders>
              <w:bottom w:val="single" w:sz="8" w:color="auto"/>
            </w:tcBorders>
            <w:vMerge w:val="continue"/>
            <w:shd w:val="clear" w:color="auto" w:fill="E5E5E5"/>
          </w:tcPr>
          <w:p>
            <w:pPr>
              <w:spacing w:after="0"/>
              <w:rPr>
                <w:sz w:val="10"/>
                <w:szCs w:val="10"/>
                <w:color w:val="auto"/>
              </w:rPr>
            </w:pPr>
          </w:p>
        </w:tc>
        <w:tc>
          <w:tcPr>
            <w:tcW w:w="1020" w:type="dxa"/>
            <w:vAlign w:val="bottom"/>
            <w:tcBorders>
              <w:bottom w:val="single" w:sz="8" w:color="auto"/>
            </w:tcBorders>
            <w:vMerge w:val="continue"/>
            <w:shd w:val="clear" w:color="auto" w:fill="E5E5E5"/>
          </w:tcPr>
          <w:p>
            <w:pPr>
              <w:spacing w:after="0"/>
              <w:rPr>
                <w:sz w:val="10"/>
                <w:szCs w:val="10"/>
                <w:color w:val="auto"/>
              </w:rPr>
            </w:pPr>
          </w:p>
        </w:tc>
        <w:tc>
          <w:tcPr>
            <w:tcW w:w="480" w:type="dxa"/>
            <w:vAlign w:val="bottom"/>
            <w:tcBorders>
              <w:bottom w:val="single" w:sz="8" w:color="auto"/>
            </w:tcBorders>
            <w:vMerge w:val="continue"/>
            <w:shd w:val="clear" w:color="auto" w:fill="E5E5E5"/>
          </w:tcPr>
          <w:p>
            <w:pPr>
              <w:spacing w:after="0"/>
              <w:rPr>
                <w:sz w:val="10"/>
                <w:szCs w:val="10"/>
                <w:color w:val="auto"/>
              </w:rPr>
            </w:pPr>
          </w:p>
        </w:tc>
        <w:tc>
          <w:tcPr>
            <w:tcW w:w="300" w:type="dxa"/>
            <w:vAlign w:val="bottom"/>
            <w:tcBorders>
              <w:bottom w:val="single" w:sz="8" w:color="auto"/>
            </w:tcBorders>
            <w:vMerge w:val="continue"/>
            <w:shd w:val="clear" w:color="auto" w:fill="E5E5E5"/>
          </w:tcPr>
          <w:p>
            <w:pPr>
              <w:spacing w:after="0"/>
              <w:rPr>
                <w:sz w:val="10"/>
                <w:szCs w:val="10"/>
                <w:color w:val="auto"/>
              </w:rPr>
            </w:pPr>
          </w:p>
        </w:tc>
        <w:tc>
          <w:tcPr>
            <w:tcW w:w="1040" w:type="dxa"/>
            <w:vAlign w:val="bottom"/>
            <w:tcBorders>
              <w:bottom w:val="single" w:sz="8" w:color="auto"/>
            </w:tcBorders>
            <w:vMerge w:val="continue"/>
            <w:shd w:val="clear" w:color="auto" w:fill="E5E5E5"/>
          </w:tcPr>
          <w:p>
            <w:pPr>
              <w:spacing w:after="0"/>
              <w:rPr>
                <w:sz w:val="10"/>
                <w:szCs w:val="10"/>
                <w:color w:val="auto"/>
              </w:rPr>
            </w:pPr>
          </w:p>
        </w:tc>
        <w:tc>
          <w:tcPr>
            <w:tcW w:w="320" w:type="dxa"/>
            <w:vAlign w:val="bottom"/>
            <w:tcBorders>
              <w:bottom w:val="single" w:sz="8" w:color="auto"/>
            </w:tcBorders>
            <w:vMerge w:val="continue"/>
            <w:shd w:val="clear" w:color="auto" w:fill="E5E5E5"/>
          </w:tcPr>
          <w:p>
            <w:pPr>
              <w:spacing w:after="0"/>
              <w:rPr>
                <w:sz w:val="10"/>
                <w:szCs w:val="10"/>
                <w:color w:val="auto"/>
              </w:rPr>
            </w:pPr>
          </w:p>
        </w:tc>
        <w:tc>
          <w:tcPr>
            <w:tcW w:w="800" w:type="dxa"/>
            <w:vAlign w:val="bottom"/>
            <w:tcBorders>
              <w:bottom w:val="single" w:sz="8" w:color="auto"/>
            </w:tcBorders>
            <w:vMerge w:val="continue"/>
            <w:shd w:val="clear" w:color="auto" w:fill="E5E5E5"/>
          </w:tcPr>
          <w:p>
            <w:pPr>
              <w:spacing w:after="0"/>
              <w:rPr>
                <w:sz w:val="10"/>
                <w:szCs w:val="10"/>
                <w:color w:val="auto"/>
              </w:rPr>
            </w:pPr>
          </w:p>
        </w:tc>
        <w:tc>
          <w:tcPr>
            <w:tcW w:w="680" w:type="dxa"/>
            <w:vAlign w:val="bottom"/>
            <w:tcBorders>
              <w:bottom w:val="single" w:sz="8" w:color="auto"/>
            </w:tcBorders>
            <w:vMerge w:val="continue"/>
            <w:shd w:val="clear" w:color="auto" w:fill="E5E5E5"/>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4"/>
                <w:szCs w:val="14"/>
                <w:b w:val="1"/>
                <w:bCs w:val="1"/>
                <w:color w:val="auto"/>
              </w:rPr>
              <w:t>Bryan Pechersky</w:t>
            </w:r>
            <w:r>
              <w:rPr>
                <w:rFonts w:ascii="Arial" w:cs="Arial" w:eastAsia="Arial" w:hAnsi="Arial"/>
                <w:sz w:val="17"/>
                <w:szCs w:val="17"/>
                <w:b w:val="1"/>
                <w:bCs w:val="1"/>
                <w:color w:val="auto"/>
                <w:vertAlign w:val="superscript"/>
              </w:rPr>
              <w:t>(7)</w:t>
            </w:r>
          </w:p>
        </w:tc>
        <w:tc>
          <w:tcPr>
            <w:tcW w:w="640" w:type="dxa"/>
            <w:vAlign w:val="bottom"/>
            <w:gridSpan w:val="2"/>
          </w:tcPr>
          <w:p>
            <w:pPr>
              <w:jc w:val="right"/>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​2025</w:t>
            </w: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40" w:type="dxa"/>
            <w:vAlign w:val="bottom"/>
          </w:tcPr>
          <w:p>
            <w:pPr>
              <w:jc w:val="right"/>
              <w:ind w:right="13"/>
              <w:spacing w:after="0" w:line="216" w:lineRule="exact"/>
              <w:rPr>
                <w:sz w:val="20"/>
                <w:szCs w:val="20"/>
                <w:color w:val="auto"/>
              </w:rPr>
            </w:pPr>
            <w:r>
              <w:rPr>
                <w:rFonts w:ascii="Arial" w:cs="Arial" w:eastAsia="Arial" w:hAnsi="Arial"/>
                <w:sz w:val="13"/>
                <w:szCs w:val="13"/>
                <w:color w:val="auto"/>
              </w:rPr>
              <w:t>453,077</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76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20" w:type="dxa"/>
            <w:vAlign w:val="bottom"/>
          </w:tcPr>
          <w:p>
            <w:pPr>
              <w:jc w:val="right"/>
              <w:ind w:right="93"/>
              <w:spacing w:after="0" w:line="216" w:lineRule="exact"/>
              <w:rPr>
                <w:sz w:val="20"/>
                <w:szCs w:val="20"/>
                <w:color w:val="auto"/>
              </w:rPr>
            </w:pPr>
            <w:r>
              <w:rPr>
                <w:rFonts w:ascii="Arial" w:cs="Arial" w:eastAsia="Arial" w:hAnsi="Arial"/>
                <w:sz w:val="13"/>
                <w:szCs w:val="13"/>
                <w:color w:val="auto"/>
              </w:rPr>
              <w:t>560,231</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480" w:type="dxa"/>
            <w:vAlign w:val="bottom"/>
          </w:tcPr>
          <w:p>
            <w:pPr>
              <w:jc w:val="right"/>
              <w:ind w:right="1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3"/>
              <w:spacing w:after="0" w:line="216" w:lineRule="exact"/>
              <w:rPr>
                <w:sz w:val="20"/>
                <w:szCs w:val="20"/>
                <w:color w:val="auto"/>
              </w:rPr>
            </w:pPr>
            <w:r>
              <w:rPr>
                <w:rFonts w:ascii="Arial" w:cs="Arial" w:eastAsia="Arial" w:hAnsi="Arial"/>
                <w:sz w:val="13"/>
                <w:szCs w:val="13"/>
                <w:color w:val="auto"/>
              </w:rPr>
              <w:t>204,240</w:t>
            </w:r>
            <w:r>
              <w:rPr>
                <w:rFonts w:ascii="Arial" w:cs="Arial" w:eastAsia="Arial" w:hAnsi="Arial"/>
                <w:sz w:val="25"/>
                <w:szCs w:val="25"/>
                <w:color w:val="auto"/>
                <w:vertAlign w:val="superscript"/>
              </w:rPr>
              <w:t>​​​</w:t>
            </w:r>
          </w:p>
        </w:tc>
        <w:tc>
          <w:tcPr>
            <w:tcW w:w="320" w:type="dxa"/>
            <w:vAlign w:val="bottom"/>
          </w:tcPr>
          <w:p>
            <w:pPr>
              <w:ind w:left="20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00" w:type="dxa"/>
            <w:vAlign w:val="bottom"/>
          </w:tcPr>
          <w:p>
            <w:pPr>
              <w:ind w:left="140"/>
              <w:spacing w:after="0" w:line="216" w:lineRule="exact"/>
              <w:rPr>
                <w:sz w:val="20"/>
                <w:szCs w:val="20"/>
                <w:color w:val="auto"/>
              </w:rPr>
            </w:pPr>
            <w:r>
              <w:rPr>
                <w:rFonts w:ascii="Arial" w:cs="Arial" w:eastAsia="Arial" w:hAnsi="Arial"/>
                <w:sz w:val="13"/>
                <w:szCs w:val="13"/>
                <w:color w:val="auto"/>
              </w:rPr>
              <w:t>38,759</w:t>
            </w: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1,256,307</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rPr>
                <w:sz w:val="20"/>
                <w:szCs w:val="20"/>
                <w:color w:val="auto"/>
              </w:rPr>
            </w:pPr>
            <w:r>
              <w:rPr>
                <w:rFonts w:ascii="Arial" w:cs="Arial" w:eastAsia="Arial" w:hAnsi="Arial"/>
                <w:sz w:val="14"/>
                <w:szCs w:val="14"/>
                <w:i w:val="1"/>
                <w:iCs w:val="1"/>
                <w:color w:val="auto"/>
              </w:rPr>
              <w:t>General Counsel and Corporate</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20" w:type="dxa"/>
            <w:vAlign w:val="bottom"/>
          </w:tcPr>
          <w:p>
            <w:pPr>
              <w:ind w:left="140"/>
              <w:spacing w:after="0"/>
              <w:rPr>
                <w:sz w:val="20"/>
                <w:szCs w:val="20"/>
                <w:color w:val="auto"/>
              </w:rPr>
            </w:pPr>
            <w:r>
              <w:rPr>
                <w:rFonts w:ascii="Arial" w:cs="Arial" w:eastAsia="Arial" w:hAnsi="Arial"/>
                <w:sz w:val="14"/>
                <w:szCs w:val="14"/>
                <w:i w:val="1"/>
                <w:iCs w:val="1"/>
                <w:color w:val="auto"/>
              </w:rPr>
              <w:t>Secretary</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31115</wp:posOffset>
            </wp:positionV>
            <wp:extent cx="58375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02" w:lineRule="exact"/>
        <w:rPr>
          <w:sz w:val="20"/>
          <w:szCs w:val="20"/>
          <w:color w:val="auto"/>
        </w:rPr>
      </w:pPr>
    </w:p>
    <w:p>
      <w:pPr>
        <w:jc w:val="both"/>
        <w:ind w:left="1120" w:right="40" w:hanging="358"/>
        <w:spacing w:after="0" w:line="271" w:lineRule="auto"/>
        <w:tabs>
          <w:tab w:leader="none" w:pos="11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reflected in this column are the aggregate grant date fair value computed in accordance with FASB ASC Topic 718 for restricted stock unit and performance stock unit awards in 2025, 2024 and 2023 to the applicable named executive officer. Assumptions used in the calculation of these amounts are included in Note O to our audited financial statements for our fiscal year ended December 31, 2025, included in our 2025 Form 10-K and our Annual Reports on Form 10-K for prior years.</w:t>
      </w:r>
    </w:p>
    <w:p>
      <w:pPr>
        <w:jc w:val="both"/>
        <w:ind w:left="1120" w:right="40"/>
        <w:spacing w:after="0" w:line="268" w:lineRule="auto"/>
        <w:rPr>
          <w:rFonts w:ascii="Arial" w:cs="Arial" w:eastAsia="Arial" w:hAnsi="Arial"/>
          <w:sz w:val="14"/>
          <w:szCs w:val="14"/>
          <w:i w:val="1"/>
          <w:iCs w:val="1"/>
          <w:color w:val="auto"/>
        </w:rPr>
      </w:pPr>
      <w:r>
        <w:rPr>
          <w:rFonts w:ascii="Arial" w:cs="Arial" w:eastAsia="Arial" w:hAnsi="Arial"/>
          <w:sz w:val="14"/>
          <w:szCs w:val="14"/>
          <w:i w:val="1"/>
          <w:iCs w:val="1"/>
          <w:color w:val="auto"/>
        </w:rPr>
        <w:t>For performance stock unit awards granted in February 2025, the maximum performance shares payable, and corresponding maximum aggregate value based on the grant date fair value of such awards, are (i) 358,762 shares and $9,718,863 for Mr. Fadel, (ii) 279,554 shares and $7,573,118 for Mr. Karam, (iii) 46,996 shares and $1,273,122 for Mr. Montrone, (iv) 46,516 shares and $1,260,118 for Mr. Blasquez, and (v) 31,174 shares and $844,504 for Mr. Pechersky. The awards granted to Mr. Fadel in 2025 were forfeited by their terms upon his retirement effective June 1, 2025; under the letter agreement we entered into with him in April 2024, continued vesting did not apply to these awards because his retirement occurred prior to the first anniversary of the grant date.</w:t>
      </w:r>
    </w:p>
    <w:p>
      <w:pPr>
        <w:spacing w:after="0" w:line="2" w:lineRule="exact"/>
        <w:rPr>
          <w:rFonts w:ascii="Arial" w:cs="Arial" w:eastAsia="Arial" w:hAnsi="Arial"/>
          <w:sz w:val="14"/>
          <w:szCs w:val="14"/>
          <w:i w:val="1"/>
          <w:iCs w:val="1"/>
          <w:color w:val="auto"/>
        </w:rPr>
      </w:pPr>
    </w:p>
    <w:p>
      <w:pPr>
        <w:jc w:val="both"/>
        <w:ind w:left="1120" w:right="40" w:hanging="358"/>
        <w:spacing w:after="0" w:line="268" w:lineRule="auto"/>
        <w:tabs>
          <w:tab w:leader="none" w:pos="11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cash awards which were payable under our annual cash incentive program with respect to services for the year indicated. Mr. Fadel retired on June 1, 2025 and did not receive a cash incentive award for 2025. Pursuant to Mr. Khouri’s offer letter, his cash award for 2025 was pro-rated based on an assumed nine months of service with the Company.</w:t>
      </w:r>
    </w:p>
    <w:p>
      <w:pPr>
        <w:ind w:left="1120" w:hanging="358"/>
        <w:spacing w:after="0"/>
        <w:tabs>
          <w:tab w:leader="none" w:pos="11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For 2025, represents the compensation as described in the “All Other Compensation” table below.</w:t>
      </w:r>
    </w:p>
    <w:p>
      <w:pPr>
        <w:spacing w:after="0" w:line="26" w:lineRule="exact"/>
        <w:rPr>
          <w:rFonts w:ascii="Arial" w:cs="Arial" w:eastAsia="Arial" w:hAnsi="Arial"/>
          <w:sz w:val="14"/>
          <w:szCs w:val="14"/>
          <w:i w:val="1"/>
          <w:iCs w:val="1"/>
          <w:color w:val="auto"/>
        </w:rPr>
      </w:pPr>
    </w:p>
    <w:p>
      <w:pPr>
        <w:jc w:val="both"/>
        <w:ind w:left="1120" w:right="40" w:hanging="358"/>
        <w:spacing w:after="0" w:line="275" w:lineRule="auto"/>
        <w:tabs>
          <w:tab w:leader="none" w:pos="11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As previously disclosed, Mr. Fadel retired from his positions as a director and the Chief Executive Officer of the Company on June 1, 2025. The stock awards granted to Mr. Fadel in 2025 were forfeited by their terms upon his retirement effective June 1, 2025; under the letter agreement we entered into with him in April 2024, continued vesting did not apply to these awards because his retirement occurred prior to the first anniversary of the grant date</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71" w:lineRule="exact"/>
        <w:rPr>
          <w:sz w:val="20"/>
          <w:szCs w:val="20"/>
          <w:color w:val="auto"/>
        </w:rPr>
      </w:pPr>
    </w:p>
    <w:p>
      <w:pPr>
        <w:ind w:left="1120" w:right="40" w:hanging="358"/>
        <w:spacing w:after="0" w:line="270" w:lineRule="auto"/>
        <w:tabs>
          <w:tab w:leader="none" w:pos="11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Mr. Karam joined the Company and was named Executive Vice President — Chief Financial Officer effective as of October 31, 2022. Effective June 1, 2025, Mr. Karam was appointed Chief Executive Officer.</w:t>
      </w:r>
    </w:p>
    <w:p>
      <w:pPr>
        <w:ind w:left="1120" w:right="40" w:hanging="358"/>
        <w:spacing w:after="0" w:line="271" w:lineRule="auto"/>
        <w:tabs>
          <w:tab w:leader="none" w:pos="11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2023 and 2024 compensation is not shown for Mr. Khouri because he was not a named executive officer for 2024 and 2023. Mr. Khouri’s stock award comprises a sign-on RSU award, which was granted in consideration of equity awards he forfeited from a previous employer.</w:t>
      </w:r>
    </w:p>
    <w:p>
      <w:pPr>
        <w:ind w:left="1120" w:hanging="358"/>
        <w:spacing w:after="0"/>
        <w:tabs>
          <w:tab w:leader="none" w:pos="11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2023 and 2024 compensation is not shown for Mr. Perchersky because he was not a named executive officer for 2024 and 2023.</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All Other Compensation</w:t>
      </w:r>
    </w:p>
    <w:p>
      <w:pPr>
        <w:spacing w:after="0" w:line="162" w:lineRule="exact"/>
        <w:rPr>
          <w:sz w:val="20"/>
          <w:szCs w:val="20"/>
          <w:color w:val="auto"/>
        </w:rPr>
      </w:pPr>
    </w:p>
    <w:p>
      <w:pPr>
        <w:ind w:left="760" w:right="40"/>
        <w:spacing w:after="0" w:line="304" w:lineRule="auto"/>
        <w:rPr>
          <w:sz w:val="20"/>
          <w:szCs w:val="20"/>
          <w:color w:val="auto"/>
        </w:rPr>
      </w:pPr>
      <w:r>
        <w:rPr>
          <w:rFonts w:ascii="Arial" w:cs="Arial" w:eastAsia="Arial" w:hAnsi="Arial"/>
          <w:sz w:val="16"/>
          <w:szCs w:val="16"/>
          <w:color w:val="auto"/>
        </w:rPr>
        <w:t>The following table provides information regarding each component of compensation for 2025 included in the All Other Compensation column in the Summary Compensation Table above.</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Company</w:t>
            </w:r>
          </w:p>
        </w:tc>
        <w:tc>
          <w:tcPr>
            <w:tcW w:w="3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5"/>
                <w:szCs w:val="15"/>
                <w:b w:val="1"/>
                <w:bCs w:val="1"/>
                <w:color w:val="auto"/>
              </w:rPr>
              <w:t>Company Matching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w w:val="95"/>
              </w:rPr>
              <w:t>Value of</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3400" w:type="dxa"/>
            <w:vAlign w:val="bottom"/>
            <w:gridSpan w:val="6"/>
          </w:tcPr>
          <w:p>
            <w:pPr>
              <w:jc w:val="right"/>
              <w:spacing w:after="0"/>
              <w:rPr>
                <w:sz w:val="20"/>
                <w:szCs w:val="20"/>
                <w:color w:val="auto"/>
              </w:rPr>
            </w:pPr>
            <w:r>
              <w:rPr>
                <w:rFonts w:ascii="Arial" w:cs="Arial" w:eastAsia="Arial" w:hAnsi="Arial"/>
                <w:sz w:val="15"/>
                <w:szCs w:val="15"/>
                <w:b w:val="1"/>
                <w:bCs w:val="1"/>
                <w:color w:val="auto"/>
              </w:rPr>
              <w:t>Matching 401(k)   Deferred Compensation</w:t>
            </w:r>
          </w:p>
        </w:tc>
        <w:tc>
          <w:tcPr>
            <w:tcW w:w="2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Insurance</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tcPr>
          <w:p>
            <w:pPr>
              <w:ind w:left="60"/>
              <w:spacing w:after="0" w:line="167" w:lineRule="exact"/>
              <w:rPr>
                <w:sz w:val="20"/>
                <w:szCs w:val="20"/>
                <w:color w:val="auto"/>
              </w:rPr>
            </w:pPr>
            <w:r>
              <w:rPr>
                <w:rFonts w:ascii="Arial" w:cs="Arial" w:eastAsia="Arial" w:hAnsi="Arial"/>
                <w:sz w:val="15"/>
                <w:szCs w:val="15"/>
                <w:b w:val="1"/>
                <w:bCs w:val="1"/>
                <w:color w:val="auto"/>
              </w:rPr>
              <w:t>Name</w:t>
            </w:r>
          </w:p>
        </w:tc>
        <w:tc>
          <w:tcPr>
            <w:tcW w:w="2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 ​</w:t>
            </w:r>
          </w:p>
        </w:tc>
        <w:tc>
          <w:tcPr>
            <w:tcW w:w="11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w w:val="98"/>
              </w:rPr>
              <w:t>Contributions</w:t>
            </w:r>
            <w:r>
              <w:rPr>
                <w:rFonts w:ascii="Arial" w:cs="Arial" w:eastAsia="Arial" w:hAnsi="Arial"/>
                <w:sz w:val="19"/>
                <w:szCs w:val="19"/>
                <w:b w:val="1"/>
                <w:bCs w:val="1"/>
                <w:color w:val="auto"/>
                <w:w w:val="98"/>
                <w:vertAlign w:val="superscript"/>
              </w:rPr>
              <w:t>(1)</w:t>
            </w:r>
          </w:p>
        </w:tc>
        <w:tc>
          <w:tcPr>
            <w:tcW w:w="3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 ​</w:t>
            </w:r>
          </w:p>
        </w:tc>
        <w:tc>
          <w:tcPr>
            <w:tcW w:w="162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Contributions</w:t>
            </w:r>
            <w:r>
              <w:rPr>
                <w:rFonts w:ascii="Arial" w:cs="Arial" w:eastAsia="Arial" w:hAnsi="Arial"/>
                <w:sz w:val="19"/>
                <w:szCs w:val="19"/>
                <w:b w:val="1"/>
                <w:bCs w:val="1"/>
                <w:color w:val="auto"/>
                <w:vertAlign w:val="superscript"/>
              </w:rPr>
              <w:t>(1)</w:t>
            </w:r>
          </w:p>
        </w:tc>
        <w:tc>
          <w:tcPr>
            <w:tcW w:w="200" w:type="dxa"/>
            <w:vAlign w:val="bottom"/>
          </w:tcPr>
          <w:p>
            <w:pPr>
              <w:spacing w:after="0"/>
              <w:rPr>
                <w:sz w:val="14"/>
                <w:szCs w:val="14"/>
                <w:color w:val="auto"/>
              </w:rPr>
            </w:pPr>
          </w:p>
        </w:tc>
        <w:tc>
          <w:tcPr>
            <w:tcW w:w="88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w w:val="97"/>
              </w:rPr>
              <w:t>Premiums</w:t>
            </w:r>
            <w:r>
              <w:rPr>
                <w:rFonts w:ascii="Arial" w:cs="Arial" w:eastAsia="Arial" w:hAnsi="Arial"/>
                <w:sz w:val="19"/>
                <w:szCs w:val="19"/>
                <w:b w:val="1"/>
                <w:bCs w:val="1"/>
                <w:color w:val="auto"/>
                <w:w w:val="97"/>
                <w:vertAlign w:val="superscript"/>
              </w:rPr>
              <w:t>(2)</w:t>
            </w:r>
          </w:p>
        </w:tc>
        <w:tc>
          <w:tcPr>
            <w:tcW w:w="300" w:type="dxa"/>
            <w:vAlign w:val="bottom"/>
            <w:vMerge w:val="restart"/>
          </w:tcPr>
          <w:p>
            <w:pPr>
              <w:jc w:val="right"/>
              <w:ind w:right="20"/>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Relocation</w:t>
            </w:r>
          </w:p>
        </w:tc>
        <w:tc>
          <w:tcPr>
            <w:tcW w:w="3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w:t>
            </w:r>
          </w:p>
        </w:tc>
        <w:tc>
          <w:tcPr>
            <w:tcW w:w="180" w:type="dxa"/>
            <w:vAlign w:val="bottom"/>
          </w:tcPr>
          <w:p>
            <w:pPr>
              <w:spacing w:after="0"/>
              <w:rPr>
                <w:sz w:val="14"/>
                <w:szCs w:val="14"/>
                <w:color w:val="auto"/>
              </w:rPr>
            </w:pPr>
          </w:p>
        </w:tc>
        <w:tc>
          <w:tcPr>
            <w:tcW w:w="560" w:type="dxa"/>
            <w:vAlign w:val="bottom"/>
          </w:tcPr>
          <w:p>
            <w:pPr>
              <w:jc w:val="right"/>
              <w:spacing w:after="0" w:line="167" w:lineRule="exact"/>
              <w:rPr>
                <w:sz w:val="20"/>
                <w:szCs w:val="20"/>
                <w:color w:val="auto"/>
              </w:rPr>
            </w:pPr>
            <w:r>
              <w:rPr>
                <w:rFonts w:ascii="Arial" w:cs="Arial" w:eastAsia="Arial" w:hAnsi="Arial"/>
                <w:sz w:val="15"/>
                <w:szCs w:val="15"/>
                <w:b w:val="1"/>
                <w:bCs w:val="1"/>
                <w:color w:val="auto"/>
                <w:w w:val="97"/>
              </w:rPr>
              <w:t>Other</w:t>
            </w:r>
            <w:r>
              <w:rPr>
                <w:rFonts w:ascii="Arial" w:cs="Arial" w:eastAsia="Arial" w:hAnsi="Arial"/>
                <w:sz w:val="19"/>
                <w:szCs w:val="19"/>
                <w:b w:val="1"/>
                <w:bCs w:val="1"/>
                <w:color w:val="auto"/>
                <w:w w:val="97"/>
                <w:vertAlign w:val="superscript"/>
              </w:rPr>
              <w:t>(3)</w:t>
            </w:r>
          </w:p>
        </w:tc>
        <w:tc>
          <w:tcPr>
            <w:tcW w:w="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w:t>
            </w:r>
          </w:p>
        </w:tc>
        <w:tc>
          <w:tcPr>
            <w:tcW w:w="240" w:type="dxa"/>
            <w:vAlign w:val="bottom"/>
          </w:tcPr>
          <w:p>
            <w:pPr>
              <w:spacing w:after="0"/>
              <w:rPr>
                <w:sz w:val="14"/>
                <w:szCs w:val="14"/>
                <w:color w:val="auto"/>
              </w:rPr>
            </w:pPr>
          </w:p>
        </w:tc>
        <w:tc>
          <w:tcPr>
            <w:tcW w:w="600" w:type="dxa"/>
            <w:vAlign w:val="bottom"/>
          </w:tcPr>
          <w:p>
            <w:pPr>
              <w:ind w:left="240"/>
              <w:spacing w:after="0" w:line="167" w:lineRule="exact"/>
              <w:rPr>
                <w:sz w:val="20"/>
                <w:szCs w:val="20"/>
                <w:color w:val="auto"/>
              </w:rPr>
            </w:pPr>
            <w:r>
              <w:rPr>
                <w:rFonts w:ascii="Arial" w:cs="Arial" w:eastAsia="Arial" w:hAnsi="Arial"/>
                <w:sz w:val="15"/>
                <w:szCs w:val="15"/>
                <w:b w:val="1"/>
                <w:bCs w:val="1"/>
                <w:color w:val="auto"/>
                <w:w w:val="94"/>
              </w:rPr>
              <w:t>Total</w:t>
            </w:r>
          </w:p>
        </w:tc>
        <w:tc>
          <w:tcPr>
            <w:tcW w:w="10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360" w:type="dxa"/>
            <w:vAlign w:val="bottom"/>
            <w:tcBorders>
              <w:bottom w:val="single" w:sz="8" w:color="auto"/>
            </w:tcBorders>
          </w:tcPr>
          <w:p>
            <w:pPr>
              <w:ind w:left="60"/>
              <w:spacing w:after="0" w:line="68" w:lineRule="exact"/>
              <w:rPr>
                <w:sz w:val="20"/>
                <w:szCs w:val="20"/>
                <w:color w:val="auto"/>
              </w:rPr>
            </w:pPr>
            <w:r>
              <w:rPr>
                <w:rFonts w:ascii="Arial" w:cs="Arial" w:eastAsia="Arial" w:hAnsi="Arial"/>
                <w:sz w:val="7"/>
                <w:szCs w:val="7"/>
                <w:b w:val="1"/>
                <w:bCs w:val="1"/>
                <w:color w:val="auto"/>
              </w:rPr>
              <w:t>​</w:t>
            </w:r>
          </w:p>
        </w:tc>
        <w:tc>
          <w:tcPr>
            <w:tcW w:w="26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jc w:val="right"/>
              <w:ind w:right="149"/>
              <w:spacing w:after="0" w:line="68" w:lineRule="exact"/>
              <w:rPr>
                <w:sz w:val="20"/>
                <w:szCs w:val="20"/>
                <w:color w:val="auto"/>
              </w:rPr>
            </w:pPr>
            <w:r>
              <w:rPr>
                <w:rFonts w:ascii="Arial" w:cs="Arial" w:eastAsia="Arial" w:hAnsi="Arial"/>
                <w:sz w:val="7"/>
                <w:szCs w:val="7"/>
                <w:b w:val="1"/>
                <w:bCs w:val="1"/>
                <w:color w:val="auto"/>
              </w:rPr>
              <w:t>​ ​</w:t>
            </w: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60" w:type="dxa"/>
            <w:vAlign w:val="bottom"/>
            <w:shd w:val="clear" w:color="auto" w:fill="E5E5E5"/>
          </w:tcPr>
          <w:p>
            <w:pPr>
              <w:ind w:left="40"/>
              <w:spacing w:after="0"/>
              <w:rPr>
                <w:sz w:val="20"/>
                <w:szCs w:val="20"/>
                <w:color w:val="auto"/>
              </w:rPr>
            </w:pPr>
            <w:r>
              <w:rPr>
                <w:rFonts w:ascii="Arial" w:cs="Arial" w:eastAsia="Arial" w:hAnsi="Arial"/>
                <w:sz w:val="15"/>
                <w:szCs w:val="15"/>
                <w:color w:val="auto"/>
              </w:rPr>
              <w:t>​Mitchell Fadel</w:t>
            </w:r>
          </w:p>
        </w:tc>
        <w:tc>
          <w:tcPr>
            <w:tcW w:w="260" w:type="dxa"/>
            <w:vAlign w:val="bottom"/>
            <w:shd w:val="clear" w:color="auto" w:fill="E5E5E5"/>
          </w:tcPr>
          <w:p>
            <w:pPr>
              <w:ind w:left="80"/>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jc w:val="right"/>
              <w:ind w:right="29"/>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E5E5E5"/>
          </w:tcPr>
          <w:p>
            <w:pPr>
              <w:jc w:val="right"/>
              <w:ind w:right="104"/>
              <w:spacing w:after="0"/>
              <w:rPr>
                <w:sz w:val="20"/>
                <w:szCs w:val="20"/>
                <w:color w:val="auto"/>
              </w:rPr>
            </w:pPr>
            <w:r>
              <w:rPr>
                <w:rFonts w:ascii="Arial" w:cs="Arial" w:eastAsia="Arial" w:hAnsi="Arial"/>
                <w:sz w:val="15"/>
                <w:szCs w:val="15"/>
                <w:color w:val="auto"/>
              </w:rPr>
              <w:t>—​​ ​</w:t>
            </w:r>
          </w:p>
        </w:tc>
        <w:tc>
          <w:tcPr>
            <w:tcW w:w="9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23,950​​ ​​$</w:t>
            </w:r>
          </w:p>
        </w:tc>
        <w:tc>
          <w:tcPr>
            <w:tcW w:w="8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20"/>
                <w:szCs w:val="20"/>
                <w:color w:val="auto"/>
              </w:rPr>
            </w:pPr>
            <w:r>
              <w:rPr>
                <w:rFonts w:ascii="Arial" w:cs="Arial" w:eastAsia="Arial" w:hAnsi="Arial"/>
                <w:sz w:val="15"/>
                <w:szCs w:val="15"/>
                <w:color w:val="auto"/>
              </w:rPr>
              <w:t>​​ ​</w:t>
            </w:r>
          </w:p>
        </w:tc>
        <w:tc>
          <w:tcPr>
            <w:tcW w:w="1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 ​</w:t>
            </w:r>
          </w:p>
        </w:tc>
        <w:tc>
          <w:tcPr>
            <w:tcW w:w="240" w:type="dxa"/>
            <w:vAlign w:val="bottom"/>
            <w:shd w:val="clear" w:color="auto" w:fill="E5E5E5"/>
          </w:tcPr>
          <w:p>
            <w:pPr>
              <w:ind w:left="2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23,950​​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40"/>
              <w:spacing w:after="0"/>
              <w:rPr>
                <w:sz w:val="20"/>
                <w:szCs w:val="20"/>
                <w:color w:val="auto"/>
              </w:rPr>
            </w:pPr>
            <w:r>
              <w:rPr>
                <w:rFonts w:ascii="Arial" w:cs="Arial" w:eastAsia="Arial" w:hAnsi="Arial"/>
                <w:sz w:val="15"/>
                <w:szCs w:val="15"/>
                <w:color w:val="auto"/>
              </w:rPr>
              <w:t>​Fahmi Karam</w:t>
            </w:r>
          </w:p>
        </w:tc>
        <w:tc>
          <w:tcPr>
            <w:tcW w:w="260" w:type="dxa"/>
            <w:vAlign w:val="bottom"/>
          </w:tcPr>
          <w:p>
            <w:pPr>
              <w:ind w:left="80"/>
              <w:spacing w:after="0"/>
              <w:rPr>
                <w:sz w:val="20"/>
                <w:szCs w:val="20"/>
                <w:color w:val="auto"/>
              </w:rPr>
            </w:pPr>
            <w:r>
              <w:rPr>
                <w:rFonts w:ascii="Arial" w:cs="Arial" w:eastAsia="Arial" w:hAnsi="Arial"/>
                <w:sz w:val="15"/>
                <w:szCs w:val="15"/>
                <w:color w:val="auto"/>
              </w:rPr>
              <w:t>​ ​</w:t>
            </w:r>
          </w:p>
        </w:tc>
        <w:tc>
          <w:tcPr>
            <w:tcW w:w="1520" w:type="dxa"/>
            <w:vAlign w:val="bottom"/>
            <w:gridSpan w:val="3"/>
          </w:tcPr>
          <w:p>
            <w:pPr>
              <w:jc w:val="right"/>
              <w:ind w:right="104"/>
              <w:spacing w:after="0"/>
              <w:rPr>
                <w:sz w:val="20"/>
                <w:szCs w:val="20"/>
                <w:color w:val="auto"/>
              </w:rPr>
            </w:pPr>
            <w:r>
              <w:rPr>
                <w:rFonts w:ascii="Arial" w:cs="Arial" w:eastAsia="Arial" w:hAnsi="Arial"/>
                <w:sz w:val="15"/>
                <w:szCs w:val="15"/>
                <w:color w:val="auto"/>
              </w:rPr>
              <w:t>​$     10,700​​ ​</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21,335​​ ​​$</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5"/>
                <w:szCs w:val="15"/>
                <w:color w:val="auto"/>
              </w:rPr>
              <w:t>​​ ​</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    5,000​​ ​</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37,035​​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E5E5E5"/>
          </w:tcPr>
          <w:p>
            <w:pPr>
              <w:ind w:left="60"/>
              <w:spacing w:after="0"/>
              <w:rPr>
                <w:sz w:val="20"/>
                <w:szCs w:val="20"/>
                <w:color w:val="auto"/>
              </w:rPr>
            </w:pPr>
            <w:r>
              <w:rPr>
                <w:rFonts w:ascii="Arial" w:cs="Arial" w:eastAsia="Arial" w:hAnsi="Arial"/>
                <w:sz w:val="15"/>
                <w:szCs w:val="15"/>
                <w:color w:val="auto"/>
              </w:rPr>
              <w:t>Hal Khouri</w:t>
            </w:r>
          </w:p>
        </w:tc>
        <w:tc>
          <w:tcPr>
            <w:tcW w:w="260" w:type="dxa"/>
            <w:vAlign w:val="bottom"/>
            <w:vMerge w:val="restart"/>
            <w:shd w:val="clear" w:color="auto" w:fill="E5E5E5"/>
          </w:tcPr>
          <w:p>
            <w:pPr>
              <w:ind w:left="80"/>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jc w:val="right"/>
              <w:ind w:right="29"/>
              <w:spacing w:after="0"/>
              <w:rPr>
                <w:sz w:val="20"/>
                <w:szCs w:val="20"/>
                <w:color w:val="auto"/>
              </w:rPr>
            </w:pPr>
            <w:r>
              <w:rPr>
                <w:rFonts w:ascii="Arial" w:cs="Arial" w:eastAsia="Arial" w:hAnsi="Arial"/>
                <w:sz w:val="15"/>
                <w:szCs w:val="15"/>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E5E5E5"/>
          </w:tcPr>
          <w:p>
            <w:pPr>
              <w:jc w:val="right"/>
              <w:ind w:right="104"/>
              <w:spacing w:after="0"/>
              <w:rPr>
                <w:sz w:val="20"/>
                <w:szCs w:val="20"/>
                <w:color w:val="auto"/>
              </w:rPr>
            </w:pPr>
            <w:r>
              <w:rPr>
                <w:rFonts w:ascii="Arial" w:cs="Arial" w:eastAsia="Arial" w:hAnsi="Arial"/>
                <w:sz w:val="15"/>
                <w:szCs w:val="15"/>
                <w:color w:val="auto"/>
              </w:rPr>
              <w:t>​​ ​</w:t>
            </w:r>
          </w:p>
        </w:tc>
        <w:tc>
          <w:tcPr>
            <w:tcW w:w="9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978</w:t>
            </w:r>
          </w:p>
        </w:tc>
        <w:tc>
          <w:tcPr>
            <w:tcW w:w="30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E5E5E5"/>
          </w:tcPr>
          <w:p>
            <w:pPr>
              <w:spacing w:after="0" w:line="189" w:lineRule="exact"/>
              <w:rPr>
                <w:sz w:val="20"/>
                <w:szCs w:val="20"/>
                <w:color w:val="auto"/>
              </w:rPr>
            </w:pPr>
            <w:r>
              <w:rPr>
                <w:rFonts w:ascii="Arial" w:cs="Arial" w:eastAsia="Arial" w:hAnsi="Arial"/>
                <w:sz w:val="15"/>
                <w:szCs w:val="15"/>
                <w:color w:val="auto"/>
              </w:rPr>
              <w:t>    200,000</w:t>
            </w:r>
            <w:r>
              <w:rPr>
                <w:rFonts w:ascii="Arial" w:cs="Arial" w:eastAsia="Arial" w:hAnsi="Arial"/>
                <w:sz w:val="19"/>
                <w:szCs w:val="19"/>
                <w:color w:val="auto"/>
                <w:vertAlign w:val="superscript"/>
              </w:rPr>
              <w:t>(4)</w:t>
            </w:r>
          </w:p>
        </w:tc>
        <w:tc>
          <w:tcPr>
            <w:tcW w:w="1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840" w:type="dxa"/>
            <w:vAlign w:val="bottom"/>
            <w:gridSpan w:val="2"/>
            <w:shd w:val="clear" w:color="auto" w:fill="E5E5E5"/>
          </w:tcPr>
          <w:p>
            <w:pPr>
              <w:ind w:left="20"/>
              <w:spacing w:after="0"/>
              <w:rPr>
                <w:sz w:val="20"/>
                <w:szCs w:val="20"/>
                <w:color w:val="auto"/>
              </w:rPr>
            </w:pPr>
            <w:r>
              <w:rPr>
                <w:rFonts w:ascii="Arial" w:cs="Arial" w:eastAsia="Arial" w:hAnsi="Arial"/>
                <w:sz w:val="15"/>
                <w:szCs w:val="15"/>
                <w:color w:val="auto"/>
              </w:rPr>
              <w:t>$    200,978</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60" w:type="dxa"/>
            <w:vAlign w:val="bottom"/>
            <w:shd w:val="clear" w:color="auto" w:fill="E5E5E5"/>
          </w:tcPr>
          <w:p>
            <w:pPr>
              <w:ind w:left="40"/>
              <w:spacing w:after="0" w:line="54" w:lineRule="exact"/>
              <w:rPr>
                <w:sz w:val="20"/>
                <w:szCs w:val="20"/>
                <w:color w:val="auto"/>
              </w:rPr>
            </w:pPr>
            <w:r>
              <w:rPr>
                <w:rFonts w:ascii="Arial" w:cs="Arial" w:eastAsia="Arial" w:hAnsi="Arial"/>
                <w:sz w:val="5"/>
                <w:szCs w:val="5"/>
                <w:color w:val="auto"/>
              </w:rPr>
              <w:t>​</w:t>
            </w:r>
          </w:p>
        </w:tc>
        <w:tc>
          <w:tcPr>
            <w:tcW w:w="260" w:type="dxa"/>
            <w:vAlign w:val="bottom"/>
            <w:vMerge w:val="continue"/>
            <w:shd w:val="clear" w:color="auto" w:fill="E5E5E5"/>
          </w:tcPr>
          <w:p>
            <w:pPr>
              <w:spacing w:after="0"/>
              <w:rPr>
                <w:sz w:val="4"/>
                <w:szCs w:val="4"/>
                <w:color w:val="auto"/>
              </w:rPr>
            </w:pPr>
          </w:p>
        </w:tc>
        <w:tc>
          <w:tcPr>
            <w:tcW w:w="580" w:type="dxa"/>
            <w:vAlign w:val="bottom"/>
            <w:shd w:val="clear" w:color="auto" w:fill="E5E5E5"/>
          </w:tcPr>
          <w:p>
            <w:pPr>
              <w:jc w:val="right"/>
              <w:ind w:right="89"/>
              <w:spacing w:after="0" w:line="54" w:lineRule="exact"/>
              <w:rPr>
                <w:sz w:val="20"/>
                <w:szCs w:val="20"/>
                <w:color w:val="auto"/>
              </w:rPr>
            </w:pPr>
            <w:r>
              <w:rPr>
                <w:rFonts w:ascii="Arial" w:cs="Arial" w:eastAsia="Arial" w:hAnsi="Arial"/>
                <w:sz w:val="5"/>
                <w:szCs w:val="5"/>
                <w:color w:val="auto"/>
              </w:rPr>
              <w:t>​</w:t>
            </w:r>
          </w:p>
        </w:tc>
        <w:tc>
          <w:tcPr>
            <w:tcW w:w="560" w:type="dxa"/>
            <w:vAlign w:val="bottom"/>
            <w:shd w:val="clear" w:color="auto" w:fill="E5E5E5"/>
          </w:tcPr>
          <w:p>
            <w:pPr>
              <w:spacing w:after="0"/>
              <w:rPr>
                <w:sz w:val="4"/>
                <w:szCs w:val="4"/>
                <w:color w:val="auto"/>
              </w:rPr>
            </w:pPr>
          </w:p>
        </w:tc>
        <w:tc>
          <w:tcPr>
            <w:tcW w:w="380" w:type="dxa"/>
            <w:vAlign w:val="bottom"/>
            <w:vMerge w:val="continue"/>
            <w:shd w:val="clear" w:color="auto" w:fill="E5E5E5"/>
          </w:tcPr>
          <w:p>
            <w:pPr>
              <w:spacing w:after="0"/>
              <w:rPr>
                <w:sz w:val="4"/>
                <w:szCs w:val="4"/>
                <w:color w:val="auto"/>
              </w:rPr>
            </w:pPr>
          </w:p>
        </w:tc>
        <w:tc>
          <w:tcPr>
            <w:tcW w:w="960" w:type="dxa"/>
            <w:vAlign w:val="bottom"/>
            <w:shd w:val="clear" w:color="auto" w:fill="E5E5E5"/>
          </w:tcPr>
          <w:p>
            <w:pPr>
              <w:jc w:val="right"/>
              <w:ind w:right="9"/>
              <w:spacing w:after="0" w:line="54" w:lineRule="exact"/>
              <w:rPr>
                <w:sz w:val="20"/>
                <w:szCs w:val="20"/>
                <w:color w:val="auto"/>
              </w:rPr>
            </w:pPr>
            <w:r>
              <w:rPr>
                <w:rFonts w:ascii="Arial" w:cs="Arial" w:eastAsia="Arial" w:hAnsi="Arial"/>
                <w:sz w:val="5"/>
                <w:szCs w:val="5"/>
                <w:color w:val="auto"/>
              </w:rPr>
              <w:t>​</w:t>
            </w:r>
          </w:p>
        </w:tc>
        <w:tc>
          <w:tcPr>
            <w:tcW w:w="660" w:type="dxa"/>
            <w:vAlign w:val="bottom"/>
            <w:shd w:val="clear" w:color="auto" w:fill="E5E5E5"/>
          </w:tcPr>
          <w:p>
            <w:pPr>
              <w:spacing w:after="0"/>
              <w:rPr>
                <w:sz w:val="4"/>
                <w:szCs w:val="4"/>
                <w:color w:val="auto"/>
              </w:rPr>
            </w:pPr>
          </w:p>
        </w:tc>
        <w:tc>
          <w:tcPr>
            <w:tcW w:w="200" w:type="dxa"/>
            <w:vAlign w:val="bottom"/>
            <w:vMerge w:val="continue"/>
            <w:shd w:val="clear" w:color="auto" w:fill="E5E5E5"/>
          </w:tcPr>
          <w:p>
            <w:pPr>
              <w:spacing w:after="0"/>
              <w:rPr>
                <w:sz w:val="4"/>
                <w:szCs w:val="4"/>
                <w:color w:val="auto"/>
              </w:rPr>
            </w:pPr>
          </w:p>
        </w:tc>
        <w:tc>
          <w:tcPr>
            <w:tcW w:w="240" w:type="dxa"/>
            <w:vAlign w:val="bottom"/>
            <w:shd w:val="clear" w:color="auto" w:fill="E5E5E5"/>
          </w:tcPr>
          <w:p>
            <w:pPr>
              <w:jc w:val="right"/>
              <w:spacing w:after="0" w:line="54" w:lineRule="exact"/>
              <w:rPr>
                <w:sz w:val="20"/>
                <w:szCs w:val="20"/>
                <w:color w:val="auto"/>
              </w:rPr>
            </w:pPr>
            <w:r>
              <w:rPr>
                <w:rFonts w:ascii="Arial" w:cs="Arial" w:eastAsia="Arial" w:hAnsi="Arial"/>
                <w:sz w:val="5"/>
                <w:szCs w:val="5"/>
                <w:color w:val="auto"/>
              </w:rPr>
              <w:t>​</w:t>
            </w:r>
          </w:p>
        </w:tc>
        <w:tc>
          <w:tcPr>
            <w:tcW w:w="640" w:type="dxa"/>
            <w:vAlign w:val="bottom"/>
            <w:shd w:val="clear" w:color="auto" w:fill="E5E5E5"/>
          </w:tcPr>
          <w:p>
            <w:pPr>
              <w:spacing w:after="0"/>
              <w:rPr>
                <w:sz w:val="4"/>
                <w:szCs w:val="4"/>
                <w:color w:val="auto"/>
              </w:rPr>
            </w:pPr>
          </w:p>
        </w:tc>
        <w:tc>
          <w:tcPr>
            <w:tcW w:w="300" w:type="dxa"/>
            <w:vAlign w:val="bottom"/>
            <w:shd w:val="clear" w:color="auto" w:fill="E5E5E5"/>
          </w:tcPr>
          <w:p>
            <w:pPr>
              <w:jc w:val="right"/>
              <w:spacing w:after="0" w:line="54" w:lineRule="exact"/>
              <w:rPr>
                <w:sz w:val="20"/>
                <w:szCs w:val="20"/>
                <w:color w:val="auto"/>
              </w:rPr>
            </w:pPr>
            <w:r>
              <w:rPr>
                <w:rFonts w:ascii="Arial" w:cs="Arial" w:eastAsia="Arial" w:hAnsi="Arial"/>
                <w:sz w:val="5"/>
                <w:szCs w:val="5"/>
                <w:color w:val="auto"/>
              </w:rPr>
              <w:t>​​ ​​</w:t>
            </w:r>
          </w:p>
        </w:tc>
        <w:tc>
          <w:tcPr>
            <w:tcW w:w="820" w:type="dxa"/>
            <w:vAlign w:val="bottom"/>
            <w:shd w:val="clear" w:color="auto" w:fill="E5E5E5"/>
          </w:tcPr>
          <w:p>
            <w:pPr>
              <w:spacing w:after="0"/>
              <w:rPr>
                <w:sz w:val="4"/>
                <w:szCs w:val="4"/>
                <w:color w:val="auto"/>
              </w:rPr>
            </w:pPr>
          </w:p>
        </w:tc>
        <w:tc>
          <w:tcPr>
            <w:tcW w:w="3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w:t>
            </w:r>
          </w:p>
        </w:tc>
        <w:tc>
          <w:tcPr>
            <w:tcW w:w="180" w:type="dxa"/>
            <w:vAlign w:val="bottom"/>
            <w:shd w:val="clear" w:color="auto" w:fill="E5E5E5"/>
          </w:tcPr>
          <w:p>
            <w:pPr>
              <w:spacing w:after="0"/>
              <w:rPr>
                <w:sz w:val="4"/>
                <w:szCs w:val="4"/>
                <w:color w:val="auto"/>
              </w:rPr>
            </w:pPr>
          </w:p>
        </w:tc>
        <w:tc>
          <w:tcPr>
            <w:tcW w:w="560" w:type="dxa"/>
            <w:vAlign w:val="bottom"/>
            <w:shd w:val="clear" w:color="auto" w:fill="E5E5E5"/>
          </w:tcPr>
          <w:p>
            <w:pPr>
              <w:spacing w:after="0"/>
              <w:rPr>
                <w:sz w:val="4"/>
                <w:szCs w:val="4"/>
                <w:color w:val="auto"/>
              </w:rPr>
            </w:pPr>
          </w:p>
        </w:tc>
        <w:tc>
          <w:tcPr>
            <w:tcW w:w="240" w:type="dxa"/>
            <w:vAlign w:val="bottom"/>
            <w:vMerge w:val="continue"/>
            <w:shd w:val="clear" w:color="auto" w:fill="E5E5E5"/>
          </w:tcPr>
          <w:p>
            <w:pPr>
              <w:spacing w:after="0"/>
              <w:rPr>
                <w:sz w:val="4"/>
                <w:szCs w:val="4"/>
                <w:color w:val="auto"/>
              </w:rPr>
            </w:pPr>
          </w:p>
        </w:tc>
        <w:tc>
          <w:tcPr>
            <w:tcW w:w="240" w:type="dxa"/>
            <w:vAlign w:val="bottom"/>
            <w:shd w:val="clear" w:color="auto" w:fill="E5E5E5"/>
          </w:tcPr>
          <w:p>
            <w:pPr>
              <w:ind w:left="20"/>
              <w:spacing w:after="0" w:line="54" w:lineRule="exact"/>
              <w:rPr>
                <w:sz w:val="20"/>
                <w:szCs w:val="20"/>
                <w:color w:val="auto"/>
              </w:rPr>
            </w:pPr>
            <w:r>
              <w:rPr>
                <w:rFonts w:ascii="Arial" w:cs="Arial" w:eastAsia="Arial" w:hAnsi="Arial"/>
                <w:sz w:val="5"/>
                <w:szCs w:val="5"/>
                <w:color w:val="auto"/>
              </w:rPr>
              <w:t>​</w:t>
            </w:r>
          </w:p>
        </w:tc>
        <w:tc>
          <w:tcPr>
            <w:tcW w:w="600" w:type="dxa"/>
            <w:vAlign w:val="bottom"/>
            <w:shd w:val="clear" w:color="auto" w:fill="E5E5E5"/>
          </w:tcPr>
          <w:p>
            <w:pPr>
              <w:spacing w:after="0"/>
              <w:rPr>
                <w:sz w:val="4"/>
                <w:szCs w:val="4"/>
                <w:color w:val="auto"/>
              </w:rPr>
            </w:pPr>
          </w:p>
        </w:tc>
        <w:tc>
          <w:tcPr>
            <w:tcW w:w="10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40"/>
              <w:spacing w:after="0"/>
              <w:rPr>
                <w:sz w:val="20"/>
                <w:szCs w:val="20"/>
                <w:color w:val="auto"/>
              </w:rPr>
            </w:pPr>
            <w:r>
              <w:rPr>
                <w:rFonts w:ascii="Arial" w:cs="Arial" w:eastAsia="Arial" w:hAnsi="Arial"/>
                <w:sz w:val="15"/>
                <w:szCs w:val="15"/>
                <w:color w:val="auto"/>
              </w:rPr>
              <w:t>​Tyler Montrone</w:t>
            </w:r>
          </w:p>
        </w:tc>
        <w:tc>
          <w:tcPr>
            <w:tcW w:w="260" w:type="dxa"/>
            <w:vAlign w:val="bottom"/>
          </w:tcPr>
          <w:p>
            <w:pPr>
              <w:ind w:left="80"/>
              <w:spacing w:after="0"/>
              <w:rPr>
                <w:sz w:val="20"/>
                <w:szCs w:val="20"/>
                <w:color w:val="auto"/>
              </w:rPr>
            </w:pPr>
            <w:r>
              <w:rPr>
                <w:rFonts w:ascii="Arial" w:cs="Arial" w:eastAsia="Arial" w:hAnsi="Arial"/>
                <w:sz w:val="15"/>
                <w:szCs w:val="15"/>
                <w:color w:val="auto"/>
              </w:rPr>
              <w:t>​ ​</w:t>
            </w:r>
          </w:p>
        </w:tc>
        <w:tc>
          <w:tcPr>
            <w:tcW w:w="58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4"/>
              <w:spacing w:after="0"/>
              <w:rPr>
                <w:sz w:val="20"/>
                <w:szCs w:val="20"/>
                <w:color w:val="auto"/>
              </w:rPr>
            </w:pPr>
            <w:r>
              <w:rPr>
                <w:rFonts w:ascii="Arial" w:cs="Arial" w:eastAsia="Arial" w:hAnsi="Arial"/>
                <w:sz w:val="15"/>
                <w:szCs w:val="15"/>
                <w:color w:val="auto"/>
              </w:rPr>
              <w:t>10,106​​ ​</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18,891​​ ​​$</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5"/>
                <w:szCs w:val="15"/>
                <w:color w:val="auto"/>
              </w:rPr>
              <w:t>​​ ​</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3,503​​ ​</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E5E5E5"/>
          </w:tcPr>
          <w:p>
            <w:pPr>
              <w:ind w:left="40"/>
              <w:spacing w:after="0"/>
              <w:rPr>
                <w:sz w:val="20"/>
                <w:szCs w:val="20"/>
                <w:color w:val="auto"/>
              </w:rPr>
            </w:pPr>
            <w:r>
              <w:rPr>
                <w:rFonts w:ascii="Arial" w:cs="Arial" w:eastAsia="Arial" w:hAnsi="Arial"/>
                <w:sz w:val="15"/>
                <w:szCs w:val="15"/>
                <w:color w:val="auto"/>
              </w:rPr>
              <w:t>​Anthony Blasquez</w:t>
            </w:r>
          </w:p>
        </w:tc>
        <w:tc>
          <w:tcPr>
            <w:tcW w:w="260" w:type="dxa"/>
            <w:vAlign w:val="bottom"/>
            <w:shd w:val="clear" w:color="auto" w:fill="E5E5E5"/>
          </w:tcPr>
          <w:p>
            <w:pPr>
              <w:ind w:left="80"/>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jc w:val="right"/>
              <w:ind w:right="29"/>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E5E5E5"/>
          </w:tcPr>
          <w:p>
            <w:pPr>
              <w:jc w:val="right"/>
              <w:ind w:right="104"/>
              <w:spacing w:after="0"/>
              <w:rPr>
                <w:sz w:val="20"/>
                <w:szCs w:val="20"/>
                <w:color w:val="auto"/>
              </w:rPr>
            </w:pPr>
            <w:r>
              <w:rPr>
                <w:rFonts w:ascii="Arial" w:cs="Arial" w:eastAsia="Arial" w:hAnsi="Arial"/>
                <w:sz w:val="15"/>
                <w:szCs w:val="15"/>
                <w:color w:val="auto"/>
              </w:rPr>
              <w:t>—​​ ​</w:t>
            </w:r>
          </w:p>
        </w:tc>
        <w:tc>
          <w:tcPr>
            <w:tcW w:w="9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12,053​​ ​</w:t>
            </w:r>
          </w:p>
        </w:tc>
        <w:tc>
          <w:tcPr>
            <w:tcW w:w="2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22,701​​ ​​$</w:t>
            </w:r>
          </w:p>
        </w:tc>
        <w:tc>
          <w:tcPr>
            <w:tcW w:w="8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20"/>
                <w:szCs w:val="20"/>
                <w:color w:val="auto"/>
              </w:rPr>
            </w:pPr>
            <w:r>
              <w:rPr>
                <w:rFonts w:ascii="Arial" w:cs="Arial" w:eastAsia="Arial" w:hAnsi="Arial"/>
                <w:sz w:val="15"/>
                <w:szCs w:val="15"/>
                <w:color w:val="auto"/>
              </w:rPr>
              <w:t>​​ ​</w:t>
            </w:r>
          </w:p>
        </w:tc>
        <w:tc>
          <w:tcPr>
            <w:tcW w:w="1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4,625​​ ​</w:t>
            </w:r>
          </w:p>
        </w:tc>
        <w:tc>
          <w:tcPr>
            <w:tcW w:w="240" w:type="dxa"/>
            <w:vAlign w:val="bottom"/>
            <w:shd w:val="clear" w:color="auto" w:fill="E5E5E5"/>
          </w:tcPr>
          <w:p>
            <w:pPr>
              <w:ind w:left="2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39,379​​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​Bryan Pechersky</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 ​</w:t>
            </w: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5"/>
                <w:szCs w:val="15"/>
                <w:color w:val="auto"/>
              </w:rPr>
              <w:t>10,783​​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22,743​​ ​​$</w:t>
            </w: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5,233​​ ​</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38,759​​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20" w:hanging="358"/>
        <w:spacing w:after="0"/>
        <w:tabs>
          <w:tab w:leader="none" w:pos="11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contributions or other allocations made by us to our 401(k) Retirement Savings Plan and/or Deferred Compensation Plan.</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premiums paid by the Company for medical, long-term disability and life insurance.</w:t>
      </w:r>
    </w:p>
    <w:p>
      <w:pPr>
        <w:spacing w:after="0" w:line="1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paid by us for an annual executive physical examination or concierge medicine access, as applicable.</w:t>
      </w:r>
    </w:p>
    <w:p>
      <w:pPr>
        <w:spacing w:after="0" w:line="26" w:lineRule="exact"/>
        <w:rPr>
          <w:rFonts w:ascii="Arial" w:cs="Arial" w:eastAsia="Arial" w:hAnsi="Arial"/>
          <w:sz w:val="14"/>
          <w:szCs w:val="14"/>
          <w:i w:val="1"/>
          <w:iCs w:val="1"/>
          <w:color w:val="auto"/>
        </w:rPr>
      </w:pPr>
    </w:p>
    <w:p>
      <w:pPr>
        <w:ind w:left="1120" w:right="40" w:hanging="358"/>
        <w:spacing w:after="0" w:line="284" w:lineRule="auto"/>
        <w:tabs>
          <w:tab w:leader="none" w:pos="11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reimbursement of relocation-related expenses in accordance with the terms of Mr. Khouri’s offer letter and the Company’s relocation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TABLES</w:t>
      </w:r>
    </w:p>
    <w:p>
      <w:pPr>
        <w:spacing w:after="0" w:line="35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3" w:lineRule="exact"/>
        <w:rPr>
          <w:sz w:val="20"/>
          <w:szCs w:val="20"/>
          <w:color w:val="auto"/>
        </w:rPr>
      </w:pPr>
    </w:p>
    <w:p>
      <w:pPr>
        <w:ind w:left="760" w:right="20"/>
        <w:spacing w:after="0" w:line="304" w:lineRule="auto"/>
        <w:rPr>
          <w:sz w:val="20"/>
          <w:szCs w:val="20"/>
          <w:color w:val="auto"/>
        </w:rPr>
      </w:pPr>
      <w:r>
        <w:rPr>
          <w:rFonts w:ascii="Arial" w:cs="Arial" w:eastAsia="Arial" w:hAnsi="Arial"/>
          <w:sz w:val="16"/>
          <w:szCs w:val="16"/>
          <w:color w:val="auto"/>
        </w:rPr>
        <w:t>The table below sets forth information about plan-based awards granted to the named executive officers during 2025 under the 2025 annual cash incentive program and the 2021 Plan.</w:t>
      </w:r>
    </w:p>
    <w:p>
      <w:pPr>
        <w:spacing w:after="0" w:line="153"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b w:val="1"/>
                <w:bCs w:val="1"/>
                <w:color w:val="auto"/>
              </w:rPr>
              <w:t>All Other</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All Other</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Option</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14"/>
              <w:spacing w:after="0"/>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8"/>
          </w:tcPr>
          <w:p>
            <w:pPr>
              <w:jc w:val="center"/>
              <w:ind w:right="250"/>
              <w:spacing w:after="0"/>
              <w:rPr>
                <w:sz w:val="20"/>
                <w:szCs w:val="20"/>
                <w:color w:val="auto"/>
              </w:rPr>
            </w:pPr>
            <w:r>
              <w:rPr>
                <w:rFonts w:ascii="Arial" w:cs="Arial" w:eastAsia="Arial" w:hAnsi="Arial"/>
                <w:sz w:val="11"/>
                <w:szCs w:val="11"/>
                <w:b w:val="1"/>
                <w:bCs w:val="1"/>
                <w:color w:val="auto"/>
              </w:rPr>
              <w:t>Estimated Future Payouts</w:t>
            </w:r>
          </w:p>
        </w:tc>
        <w:tc>
          <w:tcPr>
            <w:tcW w:w="1420" w:type="dxa"/>
            <w:vAlign w:val="bottom"/>
            <w:gridSpan w:val="4"/>
          </w:tcPr>
          <w:p>
            <w:pPr>
              <w:jc w:val="center"/>
              <w:spacing w:after="0"/>
              <w:rPr>
                <w:sz w:val="20"/>
                <w:szCs w:val="20"/>
                <w:color w:val="auto"/>
              </w:rPr>
            </w:pPr>
            <w:r>
              <w:rPr>
                <w:rFonts w:ascii="Arial" w:cs="Arial" w:eastAsia="Arial" w:hAnsi="Arial"/>
                <w:sz w:val="11"/>
                <w:szCs w:val="11"/>
                <w:b w:val="1"/>
                <w:bCs w:val="1"/>
                <w:color w:val="auto"/>
              </w:rPr>
              <w:t>Estimated Future Payouts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b w:val="1"/>
                <w:bCs w:val="1"/>
                <w:color w:val="auto"/>
              </w:rPr>
              <w:t>Awards:</w:t>
            </w:r>
          </w:p>
        </w:tc>
        <w:tc>
          <w:tcPr>
            <w:tcW w:w="100" w:type="dxa"/>
            <w:vAlign w:val="bottom"/>
          </w:tcPr>
          <w:p>
            <w:pPr>
              <w:spacing w:after="0"/>
              <w:rPr>
                <w:sz w:val="11"/>
                <w:szCs w:val="11"/>
                <w:color w:val="auto"/>
              </w:rPr>
            </w:pPr>
          </w:p>
        </w:tc>
        <w:tc>
          <w:tcPr>
            <w:tcW w:w="1060" w:type="dxa"/>
            <w:vAlign w:val="bottom"/>
            <w:gridSpan w:val="3"/>
          </w:tcPr>
          <w:p>
            <w:pPr>
              <w:jc w:val="right"/>
              <w:spacing w:after="0"/>
              <w:rPr>
                <w:sz w:val="20"/>
                <w:szCs w:val="20"/>
                <w:color w:val="auto"/>
              </w:rPr>
            </w:pPr>
            <w:r>
              <w:rPr>
                <w:rFonts w:ascii="Arial" w:cs="Arial" w:eastAsia="Arial" w:hAnsi="Arial"/>
                <w:sz w:val="11"/>
                <w:szCs w:val="11"/>
                <w:b w:val="1"/>
                <w:bCs w:val="1"/>
                <w:color w:val="auto"/>
              </w:rPr>
              <w:t>Awards: Exercise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14"/>
              <w:spacing w:after="0"/>
              <w:rPr>
                <w:sz w:val="20"/>
                <w:szCs w:val="20"/>
                <w:color w:val="auto"/>
              </w:rPr>
            </w:pPr>
            <w:r>
              <w:rPr>
                <w:rFonts w:ascii="Arial" w:cs="Arial" w:eastAsia="Arial" w:hAnsi="Arial"/>
                <w:sz w:val="11"/>
                <w:szCs w:val="11"/>
                <w:b w:val="1"/>
                <w:bCs w:val="1"/>
                <w:color w:val="auto"/>
                <w:w w:val="97"/>
              </w:rPr>
              <w:t>Date Fair</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8"/>
          </w:tcPr>
          <w:p>
            <w:pPr>
              <w:jc w:val="center"/>
              <w:ind w:right="250"/>
              <w:spacing w:after="0"/>
              <w:rPr>
                <w:sz w:val="20"/>
                <w:szCs w:val="20"/>
                <w:color w:val="auto"/>
              </w:rPr>
            </w:pPr>
            <w:r>
              <w:rPr>
                <w:rFonts w:ascii="Arial" w:cs="Arial" w:eastAsia="Arial" w:hAnsi="Arial"/>
                <w:sz w:val="11"/>
                <w:szCs w:val="11"/>
                <w:b w:val="1"/>
                <w:bCs w:val="1"/>
                <w:color w:val="auto"/>
              </w:rPr>
              <w:t>Under Non-Equity Incentive</w:t>
            </w:r>
          </w:p>
        </w:tc>
        <w:tc>
          <w:tcPr>
            <w:tcW w:w="1420" w:type="dxa"/>
            <w:vAlign w:val="bottom"/>
            <w:gridSpan w:val="4"/>
          </w:tcPr>
          <w:p>
            <w:pPr>
              <w:jc w:val="center"/>
              <w:ind w:left="4"/>
              <w:spacing w:after="0"/>
              <w:rPr>
                <w:sz w:val="20"/>
                <w:szCs w:val="20"/>
                <w:color w:val="auto"/>
              </w:rPr>
            </w:pPr>
            <w:r>
              <w:rPr>
                <w:rFonts w:ascii="Arial" w:cs="Arial" w:eastAsia="Arial" w:hAnsi="Arial"/>
                <w:sz w:val="11"/>
                <w:szCs w:val="11"/>
                <w:b w:val="1"/>
                <w:bCs w:val="1"/>
                <w:color w:val="auto"/>
              </w:rPr>
              <w:t>Under Equity Incentive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b w:val="1"/>
                <w:bCs w:val="1"/>
                <w:color w:val="auto"/>
              </w:rPr>
              <w:t>Number of</w:t>
            </w:r>
          </w:p>
        </w:tc>
        <w:tc>
          <w:tcPr>
            <w:tcW w:w="640" w:type="dxa"/>
            <w:vAlign w:val="bottom"/>
            <w:gridSpan w:val="2"/>
          </w:tcPr>
          <w:p>
            <w:pPr>
              <w:jc w:val="right"/>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9"/>
              </w:rPr>
              <w:t>or Base</w:t>
            </w:r>
          </w:p>
        </w:tc>
        <w:tc>
          <w:tcPr>
            <w:tcW w:w="10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b w:val="1"/>
                <w:bCs w:val="1"/>
                <w:color w:val="auto"/>
                <w:w w:val="99"/>
              </w:rPr>
              <w:t>Closing</w:t>
            </w:r>
          </w:p>
        </w:tc>
        <w:tc>
          <w:tcPr>
            <w:tcW w:w="120" w:type="dxa"/>
            <w:vAlign w:val="bottom"/>
          </w:tcPr>
          <w:p>
            <w:pPr>
              <w:spacing w:after="0"/>
              <w:rPr>
                <w:sz w:val="11"/>
                <w:szCs w:val="11"/>
                <w:color w:val="auto"/>
              </w:rPr>
            </w:pPr>
          </w:p>
        </w:tc>
        <w:tc>
          <w:tcPr>
            <w:tcW w:w="600" w:type="dxa"/>
            <w:vAlign w:val="bottom"/>
            <w:gridSpan w:val="2"/>
          </w:tcPr>
          <w:p>
            <w:pPr>
              <w:jc w:val="right"/>
              <w:ind w:right="114"/>
              <w:spacing w:after="0"/>
              <w:rPr>
                <w:sz w:val="20"/>
                <w:szCs w:val="20"/>
                <w:color w:val="auto"/>
              </w:rPr>
            </w:pPr>
            <w:r>
              <w:rPr>
                <w:rFonts w:ascii="Arial" w:cs="Arial" w:eastAsia="Arial" w:hAnsi="Arial"/>
                <w:sz w:val="11"/>
                <w:szCs w:val="11"/>
                <w:b w:val="1"/>
                <w:bCs w:val="1"/>
                <w:color w:val="auto"/>
              </w:rPr>
              <w:t>Value of</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rPr>
              <w:t>Committee</w:t>
            </w:r>
          </w:p>
        </w:tc>
        <w:tc>
          <w:tcPr>
            <w:tcW w:w="40" w:type="dxa"/>
            <w:vAlign w:val="bottom"/>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1120" w:type="dxa"/>
            <w:vAlign w:val="bottom"/>
            <w:gridSpan w:val="4"/>
          </w:tcPr>
          <w:p>
            <w:pPr>
              <w:jc w:val="center"/>
              <w:ind w:left="304"/>
              <w:spacing w:after="0" w:line="135" w:lineRule="exact"/>
              <w:rPr>
                <w:sz w:val="20"/>
                <w:szCs w:val="20"/>
                <w:color w:val="auto"/>
              </w:rPr>
            </w:pPr>
            <w:r>
              <w:rPr>
                <w:rFonts w:ascii="Arial" w:cs="Arial" w:eastAsia="Arial" w:hAnsi="Arial"/>
                <w:sz w:val="11"/>
                <w:szCs w:val="11"/>
                <w:b w:val="1"/>
                <w:bCs w:val="1"/>
                <w:color w:val="auto"/>
                <w:w w:val="97"/>
              </w:rPr>
              <w:t>Plan Awards</w:t>
            </w:r>
            <w:r>
              <w:rPr>
                <w:rFonts w:ascii="Arial" w:cs="Arial" w:eastAsia="Arial" w:hAnsi="Arial"/>
                <w:sz w:val="15"/>
                <w:szCs w:val="15"/>
                <w:b w:val="1"/>
                <w:bCs w:val="1"/>
                <w:color w:val="auto"/>
                <w:w w:val="97"/>
                <w:vertAlign w:val="superscript"/>
              </w:rPr>
              <w:t>(1)</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120" w:type="dxa"/>
            <w:vAlign w:val="bottom"/>
            <w:gridSpan w:val="3"/>
          </w:tcPr>
          <w:p>
            <w:pPr>
              <w:jc w:val="center"/>
              <w:ind w:left="304"/>
              <w:spacing w:after="0" w:line="135" w:lineRule="exact"/>
              <w:rPr>
                <w:sz w:val="20"/>
                <w:szCs w:val="20"/>
                <w:color w:val="auto"/>
              </w:rPr>
            </w:pPr>
            <w:r>
              <w:rPr>
                <w:rFonts w:ascii="Arial" w:cs="Arial" w:eastAsia="Arial" w:hAnsi="Arial"/>
                <w:sz w:val="11"/>
                <w:szCs w:val="11"/>
                <w:b w:val="1"/>
                <w:bCs w:val="1"/>
                <w:color w:val="auto"/>
                <w:w w:val="97"/>
              </w:rPr>
              <w:t>Plan Awards</w:t>
            </w:r>
            <w:r>
              <w:rPr>
                <w:rFonts w:ascii="Arial" w:cs="Arial" w:eastAsia="Arial" w:hAnsi="Arial"/>
                <w:sz w:val="15"/>
                <w:szCs w:val="15"/>
                <w:b w:val="1"/>
                <w:bCs w:val="1"/>
                <w:color w:val="auto"/>
                <w:w w:val="97"/>
                <w:vertAlign w:val="superscript"/>
              </w:rPr>
              <w:t>(2)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20"/>
                <w:szCs w:val="20"/>
                <w:color w:val="auto"/>
              </w:rPr>
            </w:pPr>
            <w:r>
              <w:rPr>
                <w:rFonts w:ascii="Arial" w:cs="Arial" w:eastAsia="Arial" w:hAnsi="Arial"/>
                <w:sz w:val="11"/>
                <w:szCs w:val="11"/>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b w:val="1"/>
                <w:bCs w:val="1"/>
                <w:color w:val="auto"/>
              </w:rPr>
              <w:t>Shares of</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8"/>
              </w:rPr>
              <w:t>Securities</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9"/>
              </w:rPr>
              <w:t>Price of</w:t>
            </w:r>
          </w:p>
        </w:tc>
        <w:tc>
          <w:tcPr>
            <w:tcW w:w="1240" w:type="dxa"/>
            <w:vAlign w:val="bottom"/>
            <w:gridSpan w:val="6"/>
          </w:tcPr>
          <w:p>
            <w:pPr>
              <w:jc w:val="right"/>
              <w:ind w:right="114"/>
              <w:spacing w:after="0"/>
              <w:rPr>
                <w:sz w:val="20"/>
                <w:szCs w:val="20"/>
                <w:color w:val="auto"/>
              </w:rPr>
            </w:pPr>
            <w:r>
              <w:rPr>
                <w:rFonts w:ascii="Arial" w:cs="Arial" w:eastAsia="Arial" w:hAnsi="Arial"/>
                <w:sz w:val="11"/>
                <w:szCs w:val="11"/>
                <w:b w:val="1"/>
                <w:bCs w:val="1"/>
                <w:color w:val="auto"/>
              </w:rPr>
              <w:t>Price on Stock and</w:t>
            </w: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Grant</w:t>
            </w: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Approval</w:t>
            </w:r>
          </w:p>
        </w:tc>
        <w:tc>
          <w:tcPr>
            <w:tcW w:w="40" w:type="dxa"/>
            <w:vAlign w:val="bottom"/>
          </w:tcPr>
          <w:p>
            <w:pPr>
              <w:spacing w:after="0"/>
              <w:rPr>
                <w:sz w:val="8"/>
                <w:szCs w:val="8"/>
                <w:color w:val="auto"/>
              </w:rPr>
            </w:pPr>
          </w:p>
        </w:tc>
        <w:tc>
          <w:tcPr>
            <w:tcW w:w="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vMerge w:val="continue"/>
          </w:tcPr>
          <w:p>
            <w:pPr>
              <w:spacing w:after="0"/>
              <w:rPr>
                <w:sz w:val="8"/>
                <w:szCs w:val="8"/>
                <w:color w:val="auto"/>
              </w:rPr>
            </w:pPr>
          </w:p>
        </w:tc>
        <w:tc>
          <w:tcPr>
            <w:tcW w:w="5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Stock or</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Underlying</w:t>
            </w:r>
          </w:p>
        </w:tc>
        <w:tc>
          <w:tcPr>
            <w:tcW w:w="10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Option</w:t>
            </w:r>
          </w:p>
        </w:tc>
        <w:tc>
          <w:tcPr>
            <w:tcW w:w="100" w:type="dxa"/>
            <w:vAlign w:val="bottom"/>
          </w:tcPr>
          <w:p>
            <w:pPr>
              <w:spacing w:after="0"/>
              <w:rPr>
                <w:sz w:val="8"/>
                <w:szCs w:val="8"/>
                <w:color w:val="auto"/>
              </w:rPr>
            </w:pPr>
          </w:p>
        </w:tc>
        <w:tc>
          <w:tcPr>
            <w:tcW w:w="4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Grant</w:t>
            </w:r>
          </w:p>
        </w:tc>
        <w:tc>
          <w:tcPr>
            <w:tcW w:w="120" w:type="dxa"/>
            <w:vAlign w:val="bottom"/>
          </w:tcPr>
          <w:p>
            <w:pPr>
              <w:spacing w:after="0"/>
              <w:rPr>
                <w:sz w:val="8"/>
                <w:szCs w:val="8"/>
                <w:color w:val="auto"/>
              </w:rPr>
            </w:pPr>
          </w:p>
        </w:tc>
        <w:tc>
          <w:tcPr>
            <w:tcW w:w="600" w:type="dxa"/>
            <w:vAlign w:val="bottom"/>
            <w:gridSpan w:val="2"/>
          </w:tcPr>
          <w:p>
            <w:pPr>
              <w:jc w:val="right"/>
              <w:ind w:right="114"/>
              <w:spacing w:after="0" w:line="102" w:lineRule="exact"/>
              <w:rPr>
                <w:sz w:val="20"/>
                <w:szCs w:val="20"/>
                <w:color w:val="auto"/>
              </w:rPr>
            </w:pPr>
            <w:r>
              <w:rPr>
                <w:rFonts w:ascii="Arial" w:cs="Arial" w:eastAsia="Arial" w:hAnsi="Arial"/>
                <w:sz w:val="11"/>
                <w:szCs w:val="11"/>
                <w:b w:val="1"/>
                <w:bCs w:val="1"/>
                <w:color w:val="auto"/>
              </w:rPr>
              <w:t>Option</w:t>
            </w:r>
          </w:p>
        </w:tc>
        <w:tc>
          <w:tcPr>
            <w:tcW w:w="0" w:type="dxa"/>
            <w:vAlign w:val="bottom"/>
          </w:tcPr>
          <w:p>
            <w:pPr>
              <w:spacing w:after="0"/>
              <w:rPr>
                <w:sz w:val="1"/>
                <w:szCs w:val="1"/>
                <w:color w:val="auto"/>
              </w:rPr>
            </w:pPr>
          </w:p>
        </w:tc>
      </w:tr>
      <w:tr>
        <w:trPr>
          <w:trHeight w:val="135"/>
        </w:trPr>
        <w:tc>
          <w:tcPr>
            <w:tcW w:w="1380" w:type="dxa"/>
            <w:vAlign w:val="bottom"/>
          </w:tcPr>
          <w:p>
            <w:pPr>
              <w:ind w:left="40"/>
              <w:spacing w:after="0"/>
              <w:rPr>
                <w:sz w:val="20"/>
                <w:szCs w:val="20"/>
                <w:color w:val="auto"/>
              </w:rPr>
            </w:pPr>
            <w:r>
              <w:rPr>
                <w:rFonts w:ascii="Arial" w:cs="Arial" w:eastAsia="Arial" w:hAnsi="Arial"/>
                <w:sz w:val="11"/>
                <w:szCs w:val="11"/>
                <w:b w:val="1"/>
                <w:bCs w:val="1"/>
                <w:color w:val="auto"/>
              </w:rPr>
              <w:t>Name</w:t>
            </w:r>
          </w:p>
        </w:tc>
        <w:tc>
          <w:tcPr>
            <w:tcW w:w="2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Date</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Threshold</w:t>
            </w:r>
          </w:p>
        </w:tc>
        <w:tc>
          <w:tcPr>
            <w:tcW w:w="200" w:type="dxa"/>
            <w:vAlign w:val="bottom"/>
            <w:vMerge w:val="restart"/>
          </w:tcPr>
          <w:p>
            <w:pPr>
              <w:jc w:val="right"/>
              <w:ind w:right="64"/>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ind w:left="100"/>
              <w:spacing w:after="0"/>
              <w:rPr>
                <w:sz w:val="20"/>
                <w:szCs w:val="20"/>
                <w:color w:val="auto"/>
              </w:rPr>
            </w:pPr>
            <w:r>
              <w:rPr>
                <w:rFonts w:ascii="Arial" w:cs="Arial" w:eastAsia="Arial" w:hAnsi="Arial"/>
                <w:sz w:val="11"/>
                <w:szCs w:val="11"/>
                <w:b w:val="1"/>
                <w:bCs w:val="1"/>
                <w:color w:val="auto"/>
                <w:w w:val="95"/>
              </w:rPr>
              <w:t>Target</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5"/>
          </w:tcPr>
          <w:p>
            <w:pPr>
              <w:spacing w:after="0"/>
              <w:rPr>
                <w:sz w:val="20"/>
                <w:szCs w:val="20"/>
                <w:color w:val="auto"/>
              </w:rPr>
            </w:pPr>
            <w:r>
              <w:rPr>
                <w:rFonts w:ascii="Arial" w:cs="Arial" w:eastAsia="Arial" w:hAnsi="Arial"/>
                <w:sz w:val="11"/>
                <w:szCs w:val="11"/>
                <w:b w:val="1"/>
                <w:bCs w:val="1"/>
                <w:color w:val="auto"/>
              </w:rPr>
              <w:t>Maximum Threshold</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Target  Maximum</w:t>
            </w:r>
          </w:p>
        </w:tc>
        <w:tc>
          <w:tcPr>
            <w:tcW w:w="40" w:type="dxa"/>
            <w:vAlign w:val="bottom"/>
          </w:tcPr>
          <w:p>
            <w:pPr>
              <w:spacing w:after="0"/>
              <w:rPr>
                <w:sz w:val="11"/>
                <w:szCs w:val="11"/>
                <w:color w:val="auto"/>
              </w:rPr>
            </w:pPr>
          </w:p>
        </w:tc>
        <w:tc>
          <w:tcPr>
            <w:tcW w:w="60" w:type="dxa"/>
            <w:vAlign w:val="bottom"/>
            <w:vMerge w:val="restart"/>
          </w:tcPr>
          <w:p>
            <w:pPr>
              <w:spacing w:after="0"/>
              <w:rPr>
                <w:sz w:val="20"/>
                <w:szCs w:val="20"/>
                <w:color w:val="auto"/>
              </w:rPr>
            </w:pPr>
            <w:r>
              <w:rPr>
                <w:rFonts w:ascii="Arial" w:cs="Arial" w:eastAsia="Arial" w:hAnsi="Arial"/>
                <w:sz w:val="11"/>
                <w:szCs w:val="11"/>
                <w:b w:val="1"/>
                <w:bCs w:val="1"/>
                <w:color w:val="auto"/>
              </w:rPr>
              <w:t>​​</w:t>
            </w:r>
          </w:p>
        </w:tc>
        <w:tc>
          <w:tcPr>
            <w:tcW w:w="540" w:type="dxa"/>
            <w:vAlign w:val="bottom"/>
            <w:gridSpan w:val="2"/>
          </w:tcPr>
          <w:p>
            <w:pPr>
              <w:jc w:val="right"/>
              <w:spacing w:after="0" w:line="135"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5"/>
                <w:szCs w:val="15"/>
                <w:b w:val="1"/>
                <w:bCs w:val="1"/>
                <w:color w:val="auto"/>
                <w:vertAlign w:val="superscript"/>
              </w:rPr>
              <w:t>(3)</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Options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Awards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rPr>
              <w:t>Date</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ind w:right="94"/>
              <w:spacing w:after="0" w:line="135" w:lineRule="exact"/>
              <w:rPr>
                <w:sz w:val="20"/>
                <w:szCs w:val="20"/>
                <w:color w:val="auto"/>
              </w:rPr>
            </w:pPr>
            <w:r>
              <w:rPr>
                <w:rFonts w:ascii="Arial" w:cs="Arial" w:eastAsia="Arial" w:hAnsi="Arial"/>
                <w:sz w:val="11"/>
                <w:szCs w:val="11"/>
                <w:b w:val="1"/>
                <w:bCs w:val="1"/>
                <w:color w:val="auto"/>
                <w:w w:val="92"/>
              </w:rPr>
              <w:t>Awards</w:t>
            </w:r>
            <w:r>
              <w:rPr>
                <w:rFonts w:ascii="Arial" w:cs="Arial" w:eastAsia="Arial" w:hAnsi="Arial"/>
                <w:sz w:val="15"/>
                <w:szCs w:val="15"/>
                <w:b w:val="1"/>
                <w:bCs w:val="1"/>
                <w:color w:val="auto"/>
                <w:w w:val="92"/>
                <w:vertAlign w:val="superscript"/>
              </w:rPr>
              <w:t>(4)</w:t>
            </w:r>
          </w:p>
        </w:tc>
        <w:tc>
          <w:tcPr>
            <w:tcW w:w="0" w:type="dxa"/>
            <w:vAlign w:val="bottom"/>
          </w:tcPr>
          <w:p>
            <w:pPr>
              <w:spacing w:after="0"/>
              <w:rPr>
                <w:sz w:val="1"/>
                <w:szCs w:val="1"/>
                <w:color w:val="auto"/>
              </w:rPr>
            </w:pPr>
          </w:p>
        </w:tc>
      </w:tr>
      <w:tr>
        <w:trPr>
          <w:trHeight w:val="81"/>
        </w:trPr>
        <w:tc>
          <w:tcPr>
            <w:tcW w:w="1380" w:type="dxa"/>
            <w:vAlign w:val="bottom"/>
            <w:tcBorders>
              <w:bottom w:val="single" w:sz="8" w:color="auto"/>
            </w:tcBorders>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2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tcPr>
          <w:p>
            <w:pPr>
              <w:jc w:val="right"/>
              <w:ind w:right="25"/>
              <w:spacing w:after="0" w:line="81" w:lineRule="exact"/>
              <w:rPr>
                <w:sz w:val="20"/>
                <w:szCs w:val="20"/>
                <w:color w:val="auto"/>
              </w:rPr>
            </w:pPr>
            <w:r>
              <w:rPr>
                <w:rFonts w:ascii="Arial" w:cs="Arial" w:eastAsia="Arial" w:hAnsi="Arial"/>
                <w:sz w:val="9"/>
                <w:szCs w:val="9"/>
                <w:b w:val="1"/>
                <w:bCs w:val="1"/>
                <w:color w:val="auto"/>
              </w:rPr>
              <w:t>​​</w:t>
            </w: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96"/>
        </w:trPr>
        <w:tc>
          <w:tcPr>
            <w:tcW w:w="1380" w:type="dxa"/>
            <w:vAlign w:val="bottom"/>
            <w:shd w:val="clear" w:color="auto" w:fill="E5E5E5"/>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Mitchell Fadel</w:t>
            </w:r>
          </w:p>
        </w:tc>
        <w:tc>
          <w:tcPr>
            <w:tcW w:w="260" w:type="dxa"/>
            <w:vAlign w:val="bottom"/>
            <w:shd w:val="clear" w:color="auto" w:fill="E5E5E5"/>
          </w:tcPr>
          <w:p>
            <w:pPr>
              <w:ind w:left="12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8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shd w:val="clear" w:color="auto" w:fill="E5E5E5"/>
          </w:tcPr>
          <w:p>
            <w:pPr>
              <w:ind w:left="40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E5E5E5"/>
          </w:tcPr>
          <w:p>
            <w:pPr>
              <w:ind w:left="20"/>
              <w:spacing w:after="0" w:line="195"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380" w:type="dxa"/>
            <w:vAlign w:val="bottom"/>
            <w:shd w:val="clear" w:color="auto" w:fill="E5E5E5"/>
          </w:tcPr>
          <w:p>
            <w:pPr>
              <w:spacing w:after="0"/>
              <w:rPr>
                <w:sz w:val="17"/>
                <w:szCs w:val="17"/>
                <w:color w:val="auto"/>
              </w:rPr>
            </w:pPr>
          </w:p>
        </w:tc>
        <w:tc>
          <w:tcPr>
            <w:tcW w:w="200" w:type="dxa"/>
            <w:vAlign w:val="bottom"/>
            <w:shd w:val="clear" w:color="auto" w:fill="E5E5E5"/>
          </w:tcPr>
          <w:p>
            <w:pPr>
              <w:jc w:val="right"/>
              <w:spacing w:after="0" w:line="195"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44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shd w:val="clear" w:color="auto" w:fill="E5E5E5"/>
          </w:tcPr>
          <w:p>
            <w:pPr>
              <w:spacing w:after="0"/>
              <w:rPr>
                <w:sz w:val="17"/>
                <w:szCs w:val="17"/>
                <w:color w:val="auto"/>
              </w:rPr>
            </w:pPr>
          </w:p>
        </w:tc>
        <w:tc>
          <w:tcPr>
            <w:tcW w:w="140" w:type="dxa"/>
            <w:vAlign w:val="bottom"/>
            <w:gridSpan w:val="2"/>
            <w:shd w:val="clear" w:color="auto" w:fill="E5E5E5"/>
          </w:tcPr>
          <w:p>
            <w:pPr>
              <w:jc w:val="right"/>
              <w:ind w:right="10"/>
              <w:spacing w:after="0"/>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E5E5E5"/>
          </w:tcPr>
          <w:p>
            <w:pPr>
              <w:ind w:left="34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shd w:val="clear" w:color="auto" w:fill="E5E5E5"/>
          </w:tcPr>
          <w:p>
            <w:pPr>
              <w:jc w:val="right"/>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520" w:type="dxa"/>
            <w:vAlign w:val="bottom"/>
            <w:shd w:val="clear" w:color="auto" w:fill="E5E5E5"/>
          </w:tcPr>
          <w:p>
            <w:pPr>
              <w:jc w:val="right"/>
              <w:ind w:right="45"/>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E5E5E5"/>
          </w:tcPr>
          <w:p>
            <w:pPr>
              <w:ind w:left="2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shd w:val="clear" w:color="auto" w:fill="E5E5E5"/>
          </w:tcPr>
          <w:p>
            <w:pPr>
              <w:spacing w:after="0"/>
              <w:rPr>
                <w:sz w:val="17"/>
                <w:szCs w:val="17"/>
                <w:color w:val="auto"/>
              </w:rPr>
            </w:pPr>
          </w:p>
        </w:tc>
        <w:tc>
          <w:tcPr>
            <w:tcW w:w="100" w:type="dxa"/>
            <w:vAlign w:val="bottom"/>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E5E5E5"/>
          </w:tcPr>
          <w:p>
            <w:pPr>
              <w:ind w:left="18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E5E5E5"/>
          </w:tcPr>
          <w:p>
            <w:pPr>
              <w:jc w:val="right"/>
              <w:ind w:right="24"/>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shd w:val="clear" w:color="auto" w:fill="E5E5E5"/>
          </w:tcPr>
          <w:p>
            <w:pPr>
              <w:ind w:left="28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E5E5E5"/>
          </w:tcPr>
          <w:p>
            <w:pPr>
              <w:ind w:left="40"/>
              <w:spacing w:after="0" w:line="195"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26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line="20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Short-Term Incentive</w:t>
            </w:r>
          </w:p>
        </w:tc>
        <w:tc>
          <w:tcPr>
            <w:tcW w:w="260" w:type="dxa"/>
            <w:vAlign w:val="bottom"/>
          </w:tcPr>
          <w:p>
            <w:pPr>
              <w:ind w:left="12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80" w:type="dxa"/>
            <w:vAlign w:val="bottom"/>
            <w:gridSpan w:val="2"/>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620" w:type="dxa"/>
            <w:vAlign w:val="bottom"/>
            <w:gridSpan w:val="3"/>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0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tcPr>
          <w:p>
            <w:pPr>
              <w:jc w:val="right"/>
              <w:ind w:right="10"/>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tcPr>
          <w:p>
            <w:pPr>
              <w:ind w:left="2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220" w:type="dxa"/>
            <w:vAlign w:val="bottom"/>
          </w:tcPr>
          <w:p>
            <w:pPr>
              <w:ind w:left="18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60" w:type="dxa"/>
            <w:vAlign w:val="bottom"/>
          </w:tcPr>
          <w:p>
            <w:pPr>
              <w:ind w:left="40"/>
              <w:spacing w:after="0" w:line="20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34"/>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3"/>
        </w:trPr>
        <w:tc>
          <w:tcPr>
            <w:tcW w:w="1380" w:type="dxa"/>
            <w:vAlign w:val="bottom"/>
            <w:shd w:val="clear" w:color="auto" w:fill="E5E5E5"/>
          </w:tcPr>
          <w:p>
            <w:pPr>
              <w:ind w:left="20"/>
              <w:spacing w:after="0" w:line="20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Restricted Stock Units</w:t>
            </w:r>
          </w:p>
        </w:tc>
        <w:tc>
          <w:tcPr>
            <w:tcW w:w="740" w:type="dxa"/>
            <w:vAlign w:val="bottom"/>
            <w:gridSpan w:val="3"/>
            <w:shd w:val="clear" w:color="auto" w:fill="E5E5E5"/>
          </w:tcPr>
          <w:p>
            <w:pPr>
              <w:jc w:val="right"/>
              <w:spacing w:after="0" w:line="20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shd w:val="clear" w:color="auto" w:fill="E5E5E5"/>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shd w:val="clear" w:color="auto" w:fill="E5E5E5"/>
          </w:tcPr>
          <w:p>
            <w:pPr>
              <w:ind w:left="20"/>
              <w:spacing w:after="0" w:line="20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shd w:val="clear" w:color="auto" w:fill="E5E5E5"/>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shd w:val="clear" w:color="auto" w:fill="E5E5E5"/>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shd w:val="clear" w:color="auto" w:fill="E5E5E5"/>
          </w:tcPr>
          <w:p>
            <w:pPr>
              <w:jc w:val="right"/>
              <w:ind w:right="10"/>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shd w:val="clear" w:color="auto" w:fill="E5E5E5"/>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shd w:val="clear" w:color="auto" w:fill="E5E5E5"/>
          </w:tcPr>
          <w:p>
            <w:pPr>
              <w:jc w:val="right"/>
              <w:ind w:right="45"/>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shd w:val="clear" w:color="auto" w:fill="E5E5E5"/>
          </w:tcPr>
          <w:p>
            <w:pPr>
              <w:ind w:left="2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shd w:val="clear" w:color="auto" w:fill="E5E5E5"/>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3"/>
            <w:shd w:val="clear" w:color="auto" w:fill="E5E5E5"/>
          </w:tcPr>
          <w:p>
            <w:pPr>
              <w:jc w:val="right"/>
              <w:spacing w:after="0" w:line="20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​59,793</w:t>
            </w:r>
            <w:r>
              <w:rPr>
                <w:rFonts w:ascii="Arial" w:cs="Arial" w:eastAsia="Arial" w:hAnsi="Arial"/>
                <w:sz w:val="22"/>
                <w:szCs w:val="22"/>
                <w:color w:val="auto"/>
                <w:vertAlign w:val="subscript"/>
              </w:rPr>
              <w:t>​​​</w:t>
            </w:r>
          </w:p>
        </w:tc>
        <w:tc>
          <w:tcPr>
            <w:tcW w:w="640" w:type="dxa"/>
            <w:vAlign w:val="bottom"/>
            <w:gridSpan w:val="2"/>
            <w:shd w:val="clear" w:color="auto" w:fill="E5E5E5"/>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shd w:val="clear" w:color="auto" w:fill="E5E5E5"/>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120" w:type="dxa"/>
            <w:vAlign w:val="bottom"/>
            <w:gridSpan w:val="4"/>
            <w:shd w:val="clear" w:color="auto" w:fill="E5E5E5"/>
          </w:tcPr>
          <w:p>
            <w:pPr>
              <w:jc w:val="right"/>
              <w:spacing w:after="0" w:line="20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​1,588,102</w:t>
            </w:r>
            <w:r>
              <w:rPr>
                <w:rFonts w:ascii="Arial" w:cs="Arial" w:eastAsia="Arial" w:hAnsi="Arial"/>
                <w:sz w:val="22"/>
                <w:szCs w:val="22"/>
                <w:color w:val="auto"/>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Performance Stock Units</w:t>
            </w:r>
          </w:p>
        </w:tc>
        <w:tc>
          <w:tcPr>
            <w:tcW w:w="740" w:type="dxa"/>
            <w:vAlign w:val="bottom"/>
            <w:gridSpan w:val="3"/>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tcPr>
          <w:p>
            <w:pPr>
              <w:jc w:val="right"/>
              <w:ind w:right="10"/>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120" w:type="dxa"/>
            <w:vAlign w:val="bottom"/>
            <w:gridSpan w:val="3"/>
          </w:tcPr>
          <w:p>
            <w:pPr>
              <w:jc w:val="right"/>
              <w:ind w:right="45"/>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r>
              <w:rPr>
                <w:rFonts w:ascii="Arial" w:cs="Arial" w:eastAsia="Arial" w:hAnsi="Arial"/>
                <w:sz w:val="22"/>
                <w:szCs w:val="22"/>
                <w:color w:val="auto"/>
                <w:vertAlign w:val="subscript"/>
              </w:rPr>
              <w:t>​​​​</w:t>
            </w:r>
            <w:r>
              <w:rPr>
                <w:rFonts w:ascii="Arial" w:cs="Arial" w:eastAsia="Arial" w:hAnsi="Arial"/>
                <w:sz w:val="11"/>
                <w:szCs w:val="11"/>
                <w:color w:val="auto"/>
              </w:rPr>
              <w:t>​179,381</w:t>
            </w:r>
            <w:r>
              <w:rPr>
                <w:rFonts w:ascii="Arial" w:cs="Arial" w:eastAsia="Arial" w:hAnsi="Arial"/>
                <w:sz w:val="22"/>
                <w:szCs w:val="22"/>
                <w:color w:val="auto"/>
                <w:vertAlign w:val="subscript"/>
              </w:rPr>
              <w:t>​​​</w:t>
            </w:r>
          </w:p>
        </w:tc>
        <w:tc>
          <w:tcPr>
            <w:tcW w:w="520" w:type="dxa"/>
            <w:vAlign w:val="bottom"/>
            <w:gridSpan w:val="4"/>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​358,762</w:t>
            </w:r>
            <w:r>
              <w:rPr>
                <w:rFonts w:ascii="Arial" w:cs="Arial" w:eastAsia="Arial" w:hAnsi="Arial"/>
                <w:sz w:val="22"/>
                <w:szCs w:val="22"/>
                <w:color w:val="auto"/>
                <w:vertAlign w:val="subscript"/>
              </w:rPr>
              <w:t>​​​</w:t>
            </w:r>
          </w:p>
        </w:tc>
        <w:tc>
          <w:tcPr>
            <w:tcW w:w="220" w:type="dxa"/>
            <w:vAlign w:val="bottom"/>
          </w:tcPr>
          <w:p>
            <w:pPr>
              <w:ind w:left="18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140" w:type="dxa"/>
            <w:vAlign w:val="bottom"/>
            <w:gridSpan w:val="5"/>
          </w:tcPr>
          <w:p>
            <w:pPr>
              <w:jc w:val="right"/>
              <w:ind w:right="34"/>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​4,859,431</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shd w:val="clear" w:color="auto" w:fill="E5E5E5"/>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Fahmi Karam</w:t>
            </w:r>
          </w:p>
        </w:tc>
        <w:tc>
          <w:tcPr>
            <w:tcW w:w="260" w:type="dxa"/>
            <w:vAlign w:val="bottom"/>
            <w:tcBorders>
              <w:top w:val="single" w:sz="8" w:color="auto"/>
            </w:tcBorders>
            <w:shd w:val="clear" w:color="auto" w:fill="E5E5E5"/>
          </w:tcPr>
          <w:p>
            <w:pPr>
              <w:ind w:left="12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E5E5E5"/>
          </w:tcPr>
          <w:p>
            <w:pPr>
              <w:ind w:left="40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E5E5E5"/>
          </w:tcPr>
          <w:p>
            <w:pPr>
              <w:ind w:left="20"/>
              <w:spacing w:after="0" w:line="195"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jc w:val="right"/>
              <w:spacing w:after="0" w:line="195"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44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spacing w:after="0"/>
              <w:rPr>
                <w:sz w:val="17"/>
                <w:szCs w:val="17"/>
                <w:color w:val="auto"/>
              </w:rPr>
            </w:pPr>
          </w:p>
        </w:tc>
        <w:tc>
          <w:tcPr>
            <w:tcW w:w="140" w:type="dxa"/>
            <w:vAlign w:val="bottom"/>
            <w:tcBorders>
              <w:top w:val="single" w:sz="8" w:color="auto"/>
            </w:tcBorders>
            <w:gridSpan w:val="2"/>
            <w:shd w:val="clear" w:color="auto" w:fill="E5E5E5"/>
          </w:tcPr>
          <w:p>
            <w:pPr>
              <w:jc w:val="right"/>
              <w:ind w:right="10"/>
              <w:spacing w:after="0"/>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shd w:val="clear" w:color="auto" w:fill="E5E5E5"/>
          </w:tcPr>
          <w:p>
            <w:pPr>
              <w:ind w:left="34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jc w:val="right"/>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520" w:type="dxa"/>
            <w:vAlign w:val="bottom"/>
            <w:tcBorders>
              <w:top w:val="single" w:sz="8" w:color="auto"/>
            </w:tcBorders>
            <w:shd w:val="clear" w:color="auto" w:fill="E5E5E5"/>
          </w:tcPr>
          <w:p>
            <w:pPr>
              <w:jc w:val="right"/>
              <w:ind w:right="45"/>
              <w:spacing w:after="0"/>
              <w:rPr>
                <w:sz w:val="20"/>
                <w:szCs w:val="20"/>
                <w:color w:val="auto"/>
              </w:rPr>
            </w:pPr>
            <w:r>
              <w:rPr>
                <w:rFonts w:ascii="Arial" w:cs="Arial" w:eastAsia="Arial" w:hAnsi="Arial"/>
                <w:sz w:val="11"/>
                <w:szCs w:val="11"/>
                <w:b w:val="1"/>
                <w:bCs w:val="1"/>
                <w:color w:val="auto"/>
              </w:rPr>
              <w:t>​​​</w:t>
            </w:r>
          </w:p>
        </w:tc>
        <w:tc>
          <w:tcPr>
            <w:tcW w:w="300" w:type="dxa"/>
            <w:vAlign w:val="bottom"/>
            <w:tcBorders>
              <w:top w:val="single" w:sz="8" w:color="auto"/>
            </w:tcBorders>
            <w:shd w:val="clear" w:color="auto" w:fill="E5E5E5"/>
          </w:tcPr>
          <w:p>
            <w:pPr>
              <w:ind w:left="2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tcBorders>
              <w:top w:val="single" w:sz="8" w:color="auto"/>
            </w:tcBorders>
            <w:shd w:val="clear" w:color="auto" w:fill="E5E5E5"/>
          </w:tcPr>
          <w:p>
            <w:pPr>
              <w:ind w:left="18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2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E5E5E5"/>
          </w:tcPr>
          <w:p>
            <w:pPr>
              <w:jc w:val="right"/>
              <w:ind w:right="24"/>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ind w:left="280"/>
              <w:spacing w:after="0" w:line="195"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shd w:val="clear" w:color="auto" w:fill="E5E5E5"/>
          </w:tcPr>
          <w:p>
            <w:pPr>
              <w:ind w:left="40"/>
              <w:spacing w:after="0" w:line="195"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260" w:type="dxa"/>
            <w:vAlign w:val="bottom"/>
            <w:tcBorders>
              <w:top w:val="single" w:sz="8" w:color="auto"/>
            </w:tcBorders>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line="20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Short-Term Incentive</w:t>
            </w:r>
          </w:p>
        </w:tc>
        <w:tc>
          <w:tcPr>
            <w:tcW w:w="260" w:type="dxa"/>
            <w:vAlign w:val="bottom"/>
          </w:tcPr>
          <w:p>
            <w:pPr>
              <w:ind w:left="12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80" w:type="dxa"/>
            <w:vAlign w:val="bottom"/>
            <w:gridSpan w:val="2"/>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620" w:type="dxa"/>
            <w:vAlign w:val="bottom"/>
            <w:gridSpan w:val="3"/>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900" w:type="dxa"/>
            <w:vAlign w:val="bottom"/>
            <w:gridSpan w:val="9"/>
          </w:tcPr>
          <w:p>
            <w:pPr>
              <w:jc w:val="right"/>
              <w:ind w:right="10"/>
              <w:spacing w:after="0" w:line="20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$ 165,000</w:t>
            </w:r>
            <w:r>
              <w:rPr>
                <w:rFonts w:ascii="Arial" w:cs="Arial" w:eastAsia="Arial" w:hAnsi="Arial"/>
                <w:sz w:val="22"/>
                <w:szCs w:val="22"/>
                <w:color w:val="auto"/>
                <w:vertAlign w:val="subscript"/>
              </w:rPr>
              <w:t>​​​​</w:t>
            </w:r>
            <w:r>
              <w:rPr>
                <w:rFonts w:ascii="Arial" w:cs="Arial" w:eastAsia="Arial" w:hAnsi="Arial"/>
                <w:sz w:val="11"/>
                <w:szCs w:val="11"/>
                <w:color w:val="auto"/>
              </w:rPr>
              <w:t>$1,650,000</w:t>
            </w:r>
            <w:r>
              <w:rPr>
                <w:rFonts w:ascii="Arial" w:cs="Arial" w:eastAsia="Arial" w:hAnsi="Arial"/>
                <w:sz w:val="22"/>
                <w:szCs w:val="22"/>
                <w:color w:val="auto"/>
                <w:vertAlign w:val="subscript"/>
              </w:rPr>
              <w:t>​​​​</w:t>
            </w:r>
            <w:r>
              <w:rPr>
                <w:rFonts w:ascii="Arial" w:cs="Arial" w:eastAsia="Arial" w:hAnsi="Arial"/>
                <w:sz w:val="11"/>
                <w:szCs w:val="11"/>
                <w:color w:val="auto"/>
              </w:rPr>
              <w:t>$3,300,000</w:t>
            </w:r>
            <w:r>
              <w:rPr>
                <w:rFonts w:ascii="Arial" w:cs="Arial" w:eastAsia="Arial" w:hAnsi="Arial"/>
                <w:sz w:val="22"/>
                <w:szCs w:val="22"/>
                <w:color w:val="auto"/>
                <w:vertAlign w:val="subscript"/>
              </w:rPr>
              <w:t>​​​</w:t>
            </w:r>
          </w:p>
        </w:tc>
        <w:tc>
          <w:tcPr>
            <w:tcW w:w="600" w:type="dxa"/>
            <w:vAlign w:val="bottom"/>
            <w:gridSpan w:val="2"/>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tcPr>
          <w:p>
            <w:pPr>
              <w:ind w:left="2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220" w:type="dxa"/>
            <w:vAlign w:val="bottom"/>
          </w:tcPr>
          <w:p>
            <w:pPr>
              <w:ind w:left="180"/>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03"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60" w:type="dxa"/>
            <w:vAlign w:val="bottom"/>
          </w:tcPr>
          <w:p>
            <w:pPr>
              <w:ind w:left="40"/>
              <w:spacing w:after="0" w:line="20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34"/>
              <w:spacing w:after="0" w:line="20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E5E5E5"/>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Restricted Stock Units</w:t>
            </w:r>
          </w:p>
        </w:tc>
        <w:tc>
          <w:tcPr>
            <w:tcW w:w="7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shd w:val="clear" w:color="auto" w:fill="E5E5E5"/>
          </w:tcPr>
          <w:p>
            <w:pPr>
              <w:jc w:val="right"/>
              <w:ind w:right="10"/>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shd w:val="clear" w:color="auto" w:fill="E5E5E5"/>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​46,592</w:t>
            </w:r>
            <w:r>
              <w:rPr>
                <w:rFonts w:ascii="Arial" w:cs="Arial" w:eastAsia="Arial" w:hAnsi="Arial"/>
                <w:sz w:val="22"/>
                <w:szCs w:val="22"/>
                <w:color w:val="auto"/>
                <w:vertAlign w:val="subscript"/>
              </w:rPr>
              <w:t>​​​</w:t>
            </w:r>
          </w:p>
        </w:tc>
        <w:tc>
          <w:tcPr>
            <w:tcW w:w="64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120" w:type="dxa"/>
            <w:vAlign w:val="bottom"/>
            <w:gridSpan w:val="4"/>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​1,237,484</w:t>
            </w:r>
            <w:r>
              <w:rPr>
                <w:rFonts w:ascii="Arial" w:cs="Arial" w:eastAsia="Arial" w:hAnsi="Arial"/>
                <w:sz w:val="22"/>
                <w:szCs w:val="22"/>
                <w:color w:val="auto"/>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Performance Stock Units</w:t>
            </w:r>
          </w:p>
        </w:tc>
        <w:tc>
          <w:tcPr>
            <w:tcW w:w="7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29"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tcPr>
          <w:p>
            <w:pPr>
              <w:jc w:val="right"/>
              <w:ind w:right="10"/>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120" w:type="dxa"/>
            <w:vAlign w:val="bottom"/>
            <w:gridSpan w:val="3"/>
          </w:tcPr>
          <w:p>
            <w:pPr>
              <w:jc w:val="right"/>
              <w:ind w:right="45"/>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r>
              <w:rPr>
                <w:rFonts w:ascii="Arial" w:cs="Arial" w:eastAsia="Arial" w:hAnsi="Arial"/>
                <w:sz w:val="22"/>
                <w:szCs w:val="22"/>
                <w:color w:val="auto"/>
                <w:vertAlign w:val="subscript"/>
              </w:rPr>
              <w:t>​​​​</w:t>
            </w:r>
            <w:r>
              <w:rPr>
                <w:rFonts w:ascii="Arial" w:cs="Arial" w:eastAsia="Arial" w:hAnsi="Arial"/>
                <w:sz w:val="11"/>
                <w:szCs w:val="11"/>
                <w:color w:val="auto"/>
              </w:rPr>
              <w:t>​139,777</w:t>
            </w:r>
            <w:r>
              <w:rPr>
                <w:rFonts w:ascii="Arial" w:cs="Arial" w:eastAsia="Arial" w:hAnsi="Arial"/>
                <w:sz w:val="22"/>
                <w:szCs w:val="22"/>
                <w:color w:val="auto"/>
                <w:vertAlign w:val="subscript"/>
              </w:rPr>
              <w:t>​​​</w:t>
            </w:r>
          </w:p>
        </w:tc>
        <w:tc>
          <w:tcPr>
            <w:tcW w:w="520" w:type="dxa"/>
            <w:vAlign w:val="bottom"/>
            <w:gridSpan w:val="4"/>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​279,554</w:t>
            </w:r>
            <w:r>
              <w:rPr>
                <w:rFonts w:ascii="Arial" w:cs="Arial" w:eastAsia="Arial" w:hAnsi="Arial"/>
                <w:sz w:val="22"/>
                <w:szCs w:val="22"/>
                <w:color w:val="auto"/>
                <w:vertAlign w:val="subscript"/>
              </w:rPr>
              <w:t>​​​</w:t>
            </w:r>
          </w:p>
        </w:tc>
        <w:tc>
          <w:tcPr>
            <w:tcW w:w="220" w:type="dxa"/>
            <w:vAlign w:val="bottom"/>
          </w:tcPr>
          <w:p>
            <w:pPr>
              <w:ind w:left="180"/>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140" w:type="dxa"/>
            <w:vAlign w:val="bottom"/>
            <w:gridSpan w:val="5"/>
          </w:tcPr>
          <w:p>
            <w:pPr>
              <w:jc w:val="right"/>
              <w:ind w:right="34"/>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​3,786,559</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9"/>
        </w:trPr>
        <w:tc>
          <w:tcPr>
            <w:tcW w:w="138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Hal Khouri</w:t>
            </w:r>
          </w:p>
        </w:tc>
        <w:tc>
          <w:tcPr>
            <w:tcW w:w="260" w:type="dxa"/>
            <w:vAlign w:val="bottom"/>
            <w:tcBorders>
              <w:top w:val="single" w:sz="8" w:color="auto"/>
            </w:tcBorders>
            <w:shd w:val="clear" w:color="auto" w:fill="E5E5E5"/>
          </w:tcPr>
          <w:p>
            <w:pPr>
              <w:ind w:left="12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E5E5E5"/>
          </w:tcPr>
          <w:p>
            <w:pPr>
              <w:ind w:left="40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44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gridSpan w:val="2"/>
            <w:shd w:val="clear" w:color="auto" w:fill="E5E5E5"/>
          </w:tcPr>
          <w:p>
            <w:pPr>
              <w:jc w:val="right"/>
              <w:ind w:right="10"/>
              <w:spacing w:after="0"/>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shd w:val="clear" w:color="auto" w:fill="E5E5E5"/>
          </w:tcPr>
          <w:p>
            <w:pPr>
              <w:ind w:left="34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520" w:type="dxa"/>
            <w:vAlign w:val="bottom"/>
            <w:tcBorders>
              <w:top w:val="single" w:sz="8" w:color="auto"/>
            </w:tcBorders>
            <w:shd w:val="clear" w:color="auto" w:fill="E5E5E5"/>
          </w:tcPr>
          <w:p>
            <w:pPr>
              <w:jc w:val="right"/>
              <w:ind w:right="45"/>
              <w:spacing w:after="0"/>
              <w:rPr>
                <w:sz w:val="20"/>
                <w:szCs w:val="20"/>
                <w:color w:val="auto"/>
              </w:rPr>
            </w:pPr>
            <w:r>
              <w:rPr>
                <w:rFonts w:ascii="Arial" w:cs="Arial" w:eastAsia="Arial" w:hAnsi="Arial"/>
                <w:sz w:val="11"/>
                <w:szCs w:val="11"/>
                <w:b w:val="1"/>
                <w:bCs w:val="1"/>
                <w:color w:val="auto"/>
              </w:rPr>
              <w:t>​​​</w:t>
            </w:r>
          </w:p>
        </w:tc>
        <w:tc>
          <w:tcPr>
            <w:tcW w:w="30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tcBorders>
              <w:top w:val="single" w:sz="8" w:color="auto"/>
            </w:tcBorders>
            <w:shd w:val="clear" w:color="auto" w:fill="E5E5E5"/>
          </w:tcPr>
          <w:p>
            <w:pPr>
              <w:ind w:left="18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E5E5E5"/>
          </w:tcPr>
          <w:p>
            <w:pPr>
              <w:jc w:val="right"/>
              <w:ind w:right="24"/>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ind w:left="28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shd w:val="clear" w:color="auto" w:fill="E5E5E5"/>
          </w:tcPr>
          <w:p>
            <w:pPr>
              <w:ind w:left="40"/>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26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Short-Term Incentive</w:t>
            </w:r>
          </w:p>
        </w:tc>
        <w:tc>
          <w:tcPr>
            <w:tcW w:w="260" w:type="dxa"/>
            <w:vAlign w:val="bottom"/>
          </w:tcPr>
          <w:p>
            <w:pPr>
              <w:ind w:left="1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620" w:type="dxa"/>
            <w:vAlign w:val="bottom"/>
            <w:gridSpan w:val="3"/>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16" w:lineRule="exact"/>
              <w:rPr>
                <w:sz w:val="20"/>
                <w:szCs w:val="20"/>
                <w:color w:val="auto"/>
              </w:rPr>
            </w:pPr>
            <w:r>
              <w:rPr>
                <w:rFonts w:ascii="Arial" w:cs="Arial" w:eastAsia="Arial" w:hAnsi="Arial"/>
                <w:sz w:val="11"/>
                <w:szCs w:val="11"/>
                <w:color w:val="auto"/>
                <w:w w:val="97"/>
              </w:rPr>
              <w:t>​</w:t>
            </w:r>
            <w:r>
              <w:rPr>
                <w:rFonts w:ascii="Arial" w:cs="Arial" w:eastAsia="Arial" w:hAnsi="Arial"/>
                <w:sz w:val="22"/>
                <w:szCs w:val="22"/>
                <w:color w:val="auto"/>
                <w:w w:val="97"/>
                <w:vertAlign w:val="superscript"/>
              </w:rPr>
              <w:t>$</w:t>
            </w:r>
          </w:p>
        </w:tc>
        <w:tc>
          <w:tcPr>
            <w:tcW w:w="580" w:type="dxa"/>
            <w:vAlign w:val="bottom"/>
            <w:gridSpan w:val="2"/>
          </w:tcPr>
          <w:p>
            <w:pPr>
              <w:jc w:val="right"/>
              <w:ind w:right="4"/>
              <w:spacing w:after="0" w:line="216" w:lineRule="exact"/>
              <w:rPr>
                <w:sz w:val="20"/>
                <w:szCs w:val="20"/>
                <w:color w:val="auto"/>
              </w:rPr>
            </w:pPr>
            <w:r>
              <w:rPr>
                <w:rFonts w:ascii="Arial" w:cs="Arial" w:eastAsia="Arial" w:hAnsi="Arial"/>
                <w:sz w:val="11"/>
                <w:szCs w:val="11"/>
                <w:color w:val="auto"/>
              </w:rPr>
              <w:t>40,500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640" w:type="dxa"/>
            <w:vAlign w:val="bottom"/>
            <w:gridSpan w:val="3"/>
          </w:tcPr>
          <w:p>
            <w:pPr>
              <w:jc w:val="right"/>
              <w:ind w:right="4"/>
              <w:spacing w:after="0" w:line="216" w:lineRule="exact"/>
              <w:rPr>
                <w:sz w:val="20"/>
                <w:szCs w:val="20"/>
                <w:color w:val="auto"/>
              </w:rPr>
            </w:pPr>
            <w:r>
              <w:rPr>
                <w:rFonts w:ascii="Arial" w:cs="Arial" w:eastAsia="Arial" w:hAnsi="Arial"/>
                <w:sz w:val="11"/>
                <w:szCs w:val="11"/>
                <w:color w:val="auto"/>
              </w:rPr>
              <w:t>405,000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60" w:type="dxa"/>
            <w:vAlign w:val="bottom"/>
            <w:gridSpan w:val="3"/>
          </w:tcPr>
          <w:p>
            <w:pPr>
              <w:jc w:val="right"/>
              <w:ind w:right="10"/>
              <w:spacing w:after="0" w:line="216" w:lineRule="exact"/>
              <w:rPr>
                <w:sz w:val="20"/>
                <w:szCs w:val="20"/>
                <w:color w:val="auto"/>
              </w:rPr>
            </w:pPr>
            <w:r>
              <w:rPr>
                <w:rFonts w:ascii="Arial" w:cs="Arial" w:eastAsia="Arial" w:hAnsi="Arial"/>
                <w:sz w:val="11"/>
                <w:szCs w:val="11"/>
                <w:color w:val="auto"/>
              </w:rPr>
              <w:t>810,000</w:t>
            </w:r>
            <w:r>
              <w:rPr>
                <w:rFonts w:ascii="Arial" w:cs="Arial" w:eastAsia="Arial" w:hAnsi="Arial"/>
                <w:sz w:val="22"/>
                <w:szCs w:val="22"/>
                <w:color w:val="auto"/>
                <w:vertAlign w:val="subscript"/>
              </w:rPr>
              <w:t>​​​</w:t>
            </w:r>
          </w:p>
        </w:tc>
        <w:tc>
          <w:tcPr>
            <w:tcW w:w="60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tcPr>
          <w:p>
            <w:pPr>
              <w:ind w:left="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220" w:type="dxa"/>
            <w:vAlign w:val="bottom"/>
          </w:tcPr>
          <w:p>
            <w:pPr>
              <w:ind w:left="18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60" w:type="dxa"/>
            <w:vAlign w:val="bottom"/>
          </w:tcPr>
          <w:p>
            <w:pPr>
              <w:ind w:left="4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3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34"/>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E5E5E5"/>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Restricted Stock Units</w:t>
            </w:r>
          </w:p>
        </w:tc>
        <w:tc>
          <w:tcPr>
            <w:tcW w:w="7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​12/1/2025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shd w:val="clear" w:color="auto" w:fill="E5E5E5"/>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xml:space="preserve"> ​</w:t>
            </w:r>
          </w:p>
        </w:tc>
        <w:tc>
          <w:tcPr>
            <w:tcW w:w="58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shd w:val="clear" w:color="auto" w:fill="E5E5E5"/>
          </w:tcPr>
          <w:p>
            <w:pPr>
              <w:jc w:val="right"/>
              <w:ind w:right="10"/>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shd w:val="clear" w:color="auto" w:fill="E5E5E5"/>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shd w:val="clear" w:color="auto" w:fill="E5E5E5"/>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2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​83,705</w:t>
            </w:r>
            <w:r>
              <w:rPr>
                <w:rFonts w:ascii="Arial" w:cs="Arial" w:eastAsia="Arial" w:hAnsi="Arial"/>
                <w:sz w:val="22"/>
                <w:szCs w:val="22"/>
                <w:color w:val="auto"/>
                <w:vertAlign w:val="subscript"/>
              </w:rPr>
              <w:t>​​​</w:t>
            </w:r>
          </w:p>
        </w:tc>
        <w:tc>
          <w:tcPr>
            <w:tcW w:w="64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420" w:type="dxa"/>
            <w:vAlign w:val="bottom"/>
            <w:shd w:val="clear" w:color="auto" w:fill="E5E5E5"/>
          </w:tcPr>
          <w:p>
            <w:pPr>
              <w:ind w:left="28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4"/>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$ 17.92</w:t>
            </w:r>
            <w:r>
              <w:rPr>
                <w:rFonts w:ascii="Arial" w:cs="Arial" w:eastAsia="Arial" w:hAnsi="Arial"/>
                <w:sz w:val="22"/>
                <w:szCs w:val="22"/>
                <w:color w:val="auto"/>
                <w:vertAlign w:val="subscript"/>
              </w:rPr>
              <w:t>​​​​</w:t>
            </w:r>
            <w:r>
              <w:rPr>
                <w:rFonts w:ascii="Arial" w:cs="Arial" w:eastAsia="Arial" w:hAnsi="Arial"/>
                <w:sz w:val="11"/>
                <w:szCs w:val="11"/>
                <w:color w:val="auto"/>
              </w:rPr>
              <w:t>​1,499,994</w:t>
            </w:r>
            <w:r>
              <w:rPr>
                <w:rFonts w:ascii="Arial" w:cs="Arial" w:eastAsia="Arial" w:hAnsi="Arial"/>
                <w:sz w:val="22"/>
                <w:szCs w:val="22"/>
                <w:color w:val="auto"/>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Performance Stock Units</w:t>
            </w:r>
          </w:p>
        </w:tc>
        <w:tc>
          <w:tcPr>
            <w:tcW w:w="260" w:type="dxa"/>
            <w:vAlign w:val="bottom"/>
          </w:tcPr>
          <w:p>
            <w:pPr>
              <w:ind w:left="120"/>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8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620" w:type="dxa"/>
            <w:vAlign w:val="bottom"/>
            <w:gridSpan w:val="3"/>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29"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tcPr>
          <w:p>
            <w:pPr>
              <w:jc w:val="right"/>
              <w:ind w:right="10"/>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tcPr>
          <w:p>
            <w:pPr>
              <w:ind w:left="20"/>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220" w:type="dxa"/>
            <w:vAlign w:val="bottom"/>
          </w:tcPr>
          <w:p>
            <w:pPr>
              <w:ind w:left="180"/>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60" w:type="dxa"/>
            <w:vAlign w:val="bottom"/>
          </w:tcPr>
          <w:p>
            <w:pPr>
              <w:ind w:left="40"/>
              <w:spacing w:after="0" w:line="229"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38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34"/>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9"/>
        </w:trPr>
        <w:tc>
          <w:tcPr>
            <w:tcW w:w="138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Tyler Montrone</w:t>
            </w:r>
          </w:p>
        </w:tc>
        <w:tc>
          <w:tcPr>
            <w:tcW w:w="260" w:type="dxa"/>
            <w:vAlign w:val="bottom"/>
            <w:tcBorders>
              <w:top w:val="single" w:sz="8" w:color="auto"/>
            </w:tcBorders>
            <w:shd w:val="clear" w:color="auto" w:fill="E5E5E5"/>
          </w:tcPr>
          <w:p>
            <w:pPr>
              <w:ind w:left="12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E5E5E5"/>
          </w:tcPr>
          <w:p>
            <w:pPr>
              <w:ind w:left="40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w:t>
            </w: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 xml:space="preserve"> ​</w:t>
            </w:r>
          </w:p>
        </w:tc>
        <w:tc>
          <w:tcPr>
            <w:tcW w:w="3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44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gridSpan w:val="2"/>
            <w:shd w:val="clear" w:color="auto" w:fill="E5E5E5"/>
          </w:tcPr>
          <w:p>
            <w:pPr>
              <w:jc w:val="right"/>
              <w:ind w:right="10"/>
              <w:spacing w:after="0"/>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shd w:val="clear" w:color="auto" w:fill="E5E5E5"/>
          </w:tcPr>
          <w:p>
            <w:pPr>
              <w:ind w:left="34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520" w:type="dxa"/>
            <w:vAlign w:val="bottom"/>
            <w:tcBorders>
              <w:top w:val="single" w:sz="8" w:color="auto"/>
            </w:tcBorders>
            <w:shd w:val="clear" w:color="auto" w:fill="E5E5E5"/>
          </w:tcPr>
          <w:p>
            <w:pPr>
              <w:jc w:val="right"/>
              <w:ind w:right="45"/>
              <w:spacing w:after="0"/>
              <w:rPr>
                <w:sz w:val="20"/>
                <w:szCs w:val="20"/>
                <w:color w:val="auto"/>
              </w:rPr>
            </w:pPr>
            <w:r>
              <w:rPr>
                <w:rFonts w:ascii="Arial" w:cs="Arial" w:eastAsia="Arial" w:hAnsi="Arial"/>
                <w:sz w:val="11"/>
                <w:szCs w:val="11"/>
                <w:b w:val="1"/>
                <w:bCs w:val="1"/>
                <w:color w:val="auto"/>
              </w:rPr>
              <w:t>​​​</w:t>
            </w:r>
          </w:p>
        </w:tc>
        <w:tc>
          <w:tcPr>
            <w:tcW w:w="30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tcBorders>
              <w:top w:val="single" w:sz="8" w:color="auto"/>
            </w:tcBorders>
            <w:shd w:val="clear" w:color="auto" w:fill="E5E5E5"/>
          </w:tcPr>
          <w:p>
            <w:pPr>
              <w:ind w:left="18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w:t>
            </w:r>
          </w:p>
        </w:tc>
        <w:tc>
          <w:tcPr>
            <w:tcW w:w="3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E5E5E5"/>
          </w:tcPr>
          <w:p>
            <w:pPr>
              <w:jc w:val="right"/>
              <w:ind w:right="24"/>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ind w:left="28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shd w:val="clear" w:color="auto" w:fill="E5E5E5"/>
          </w:tcPr>
          <w:p>
            <w:pPr>
              <w:ind w:left="4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 xml:space="preserve"> ​</w:t>
            </w:r>
          </w:p>
        </w:tc>
        <w:tc>
          <w:tcPr>
            <w:tcW w:w="26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Short-Term Incentive</w:t>
            </w:r>
          </w:p>
        </w:tc>
        <w:tc>
          <w:tcPr>
            <w:tcW w:w="260" w:type="dxa"/>
            <w:vAlign w:val="bottom"/>
          </w:tcPr>
          <w:p>
            <w:pPr>
              <w:ind w:left="1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620" w:type="dxa"/>
            <w:vAlign w:val="bottom"/>
            <w:gridSpan w:val="3"/>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16" w:lineRule="exact"/>
              <w:rPr>
                <w:sz w:val="20"/>
                <w:szCs w:val="20"/>
                <w:color w:val="auto"/>
              </w:rPr>
            </w:pPr>
            <w:r>
              <w:rPr>
                <w:rFonts w:ascii="Arial" w:cs="Arial" w:eastAsia="Arial" w:hAnsi="Arial"/>
                <w:sz w:val="11"/>
                <w:szCs w:val="11"/>
                <w:color w:val="auto"/>
                <w:w w:val="97"/>
              </w:rPr>
              <w:t>​</w:t>
            </w:r>
            <w:r>
              <w:rPr>
                <w:rFonts w:ascii="Arial" w:cs="Arial" w:eastAsia="Arial" w:hAnsi="Arial"/>
                <w:sz w:val="22"/>
                <w:szCs w:val="22"/>
                <w:color w:val="auto"/>
                <w:w w:val="97"/>
                <w:vertAlign w:val="superscript"/>
              </w:rPr>
              <w:t>$</w:t>
            </w:r>
          </w:p>
        </w:tc>
        <w:tc>
          <w:tcPr>
            <w:tcW w:w="580" w:type="dxa"/>
            <w:vAlign w:val="bottom"/>
            <w:gridSpan w:val="2"/>
          </w:tcPr>
          <w:p>
            <w:pPr>
              <w:jc w:val="right"/>
              <w:ind w:right="4"/>
              <w:spacing w:after="0" w:line="216" w:lineRule="exact"/>
              <w:rPr>
                <w:sz w:val="20"/>
                <w:szCs w:val="20"/>
                <w:color w:val="auto"/>
              </w:rPr>
            </w:pPr>
            <w:r>
              <w:rPr>
                <w:rFonts w:ascii="Arial" w:cs="Arial" w:eastAsia="Arial" w:hAnsi="Arial"/>
                <w:sz w:val="11"/>
                <w:szCs w:val="11"/>
                <w:color w:val="auto"/>
              </w:rPr>
              <w:t>29,370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640" w:type="dxa"/>
            <w:vAlign w:val="bottom"/>
            <w:gridSpan w:val="3"/>
          </w:tcPr>
          <w:p>
            <w:pPr>
              <w:jc w:val="right"/>
              <w:ind w:right="4"/>
              <w:spacing w:after="0" w:line="216" w:lineRule="exact"/>
              <w:rPr>
                <w:sz w:val="20"/>
                <w:szCs w:val="20"/>
                <w:color w:val="auto"/>
              </w:rPr>
            </w:pPr>
            <w:r>
              <w:rPr>
                <w:rFonts w:ascii="Arial" w:cs="Arial" w:eastAsia="Arial" w:hAnsi="Arial"/>
                <w:sz w:val="11"/>
                <w:szCs w:val="11"/>
                <w:color w:val="auto"/>
              </w:rPr>
              <w:t>293,700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60" w:type="dxa"/>
            <w:vAlign w:val="bottom"/>
            <w:gridSpan w:val="3"/>
          </w:tcPr>
          <w:p>
            <w:pPr>
              <w:jc w:val="right"/>
              <w:ind w:right="10"/>
              <w:spacing w:after="0" w:line="216" w:lineRule="exact"/>
              <w:rPr>
                <w:sz w:val="20"/>
                <w:szCs w:val="20"/>
                <w:color w:val="auto"/>
              </w:rPr>
            </w:pPr>
            <w:r>
              <w:rPr>
                <w:rFonts w:ascii="Arial" w:cs="Arial" w:eastAsia="Arial" w:hAnsi="Arial"/>
                <w:sz w:val="11"/>
                <w:szCs w:val="11"/>
                <w:color w:val="auto"/>
              </w:rPr>
              <w:t>587,400</w:t>
            </w:r>
            <w:r>
              <w:rPr>
                <w:rFonts w:ascii="Arial" w:cs="Arial" w:eastAsia="Arial" w:hAnsi="Arial"/>
                <w:sz w:val="22"/>
                <w:szCs w:val="22"/>
                <w:color w:val="auto"/>
                <w:vertAlign w:val="subscript"/>
              </w:rPr>
              <w:t>​​​</w:t>
            </w:r>
          </w:p>
        </w:tc>
        <w:tc>
          <w:tcPr>
            <w:tcW w:w="60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tcPr>
          <w:p>
            <w:pPr>
              <w:ind w:left="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220" w:type="dxa"/>
            <w:vAlign w:val="bottom"/>
          </w:tcPr>
          <w:p>
            <w:pPr>
              <w:ind w:left="18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60" w:type="dxa"/>
            <w:vAlign w:val="bottom"/>
          </w:tcPr>
          <w:p>
            <w:pPr>
              <w:ind w:left="4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3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34"/>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E5E5E5"/>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Restricted Stock Units</w:t>
            </w:r>
          </w:p>
        </w:tc>
        <w:tc>
          <w:tcPr>
            <w:tcW w:w="7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shd w:val="clear" w:color="auto" w:fill="E5E5E5"/>
          </w:tcPr>
          <w:p>
            <w:pPr>
              <w:jc w:val="right"/>
              <w:ind w:right="10"/>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shd w:val="clear" w:color="auto" w:fill="E5E5E5"/>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7,832</w:t>
            </w:r>
            <w:r>
              <w:rPr>
                <w:rFonts w:ascii="Arial" w:cs="Arial" w:eastAsia="Arial" w:hAnsi="Arial"/>
                <w:sz w:val="22"/>
                <w:szCs w:val="22"/>
                <w:color w:val="auto"/>
                <w:vertAlign w:val="subscript"/>
              </w:rPr>
              <w:t>​​​</w:t>
            </w:r>
          </w:p>
        </w:tc>
        <w:tc>
          <w:tcPr>
            <w:tcW w:w="64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80" w:type="dxa"/>
            <w:vAlign w:val="bottom"/>
            <w:shd w:val="clear" w:color="auto" w:fill="E5E5E5"/>
          </w:tcPr>
          <w:p>
            <w:pPr>
              <w:jc w:val="right"/>
              <w:spacing w:after="0" w:line="216" w:lineRule="exact"/>
              <w:rPr>
                <w:sz w:val="20"/>
                <w:szCs w:val="20"/>
                <w:color w:val="auto"/>
              </w:rPr>
            </w:pPr>
            <w:r>
              <w:rPr>
                <w:rFonts w:ascii="Arial" w:cs="Arial" w:eastAsia="Arial" w:hAnsi="Arial"/>
                <w:sz w:val="11"/>
                <w:szCs w:val="11"/>
                <w:color w:val="auto"/>
              </w:rPr>
              <w:t>208,018</w:t>
            </w:r>
            <w:r>
              <w:rPr>
                <w:rFonts w:ascii="Arial" w:cs="Arial" w:eastAsia="Arial" w:hAnsi="Arial"/>
                <w:sz w:val="22"/>
                <w:szCs w:val="22"/>
                <w:color w:val="auto"/>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Performance Stock Units</w:t>
            </w:r>
          </w:p>
        </w:tc>
        <w:tc>
          <w:tcPr>
            <w:tcW w:w="7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xml:space="preserve"> ​</w:t>
            </w:r>
          </w:p>
        </w:tc>
        <w:tc>
          <w:tcPr>
            <w:tcW w:w="58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tcPr>
          <w:p>
            <w:pPr>
              <w:jc w:val="right"/>
              <w:ind w:right="10"/>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29" w:lineRule="exact"/>
              <w:rPr>
                <w:sz w:val="20"/>
                <w:szCs w:val="20"/>
                <w:color w:val="auto"/>
              </w:rPr>
            </w:pPr>
            <w:r>
              <w:rPr>
                <w:rFonts w:ascii="Arial" w:cs="Arial" w:eastAsia="Arial" w:hAnsi="Arial"/>
                <w:sz w:val="11"/>
                <w:szCs w:val="11"/>
                <w:color w:val="auto"/>
              </w:rPr>
              <w:t>23,498</w:t>
            </w:r>
            <w:r>
              <w:rPr>
                <w:rFonts w:ascii="Arial" w:cs="Arial" w:eastAsia="Arial" w:hAnsi="Arial"/>
                <w:sz w:val="22"/>
                <w:szCs w:val="22"/>
                <w:color w:val="auto"/>
                <w:vertAlign w:val="subscript"/>
              </w:rPr>
              <w:t>​​​</w:t>
            </w:r>
          </w:p>
        </w:tc>
        <w:tc>
          <w:tcPr>
            <w:tcW w:w="520" w:type="dxa"/>
            <w:vAlign w:val="bottom"/>
            <w:gridSpan w:val="4"/>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46,996</w:t>
            </w:r>
            <w:r>
              <w:rPr>
                <w:rFonts w:ascii="Arial" w:cs="Arial" w:eastAsia="Arial" w:hAnsi="Arial"/>
                <w:sz w:val="22"/>
                <w:szCs w:val="22"/>
                <w:color w:val="auto"/>
                <w:vertAlign w:val="subscript"/>
              </w:rPr>
              <w:t>​​​</w:t>
            </w:r>
          </w:p>
        </w:tc>
        <w:tc>
          <w:tcPr>
            <w:tcW w:w="220" w:type="dxa"/>
            <w:vAlign w:val="bottom"/>
          </w:tcPr>
          <w:p>
            <w:pPr>
              <w:ind w:left="18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42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600" w:type="dxa"/>
            <w:vAlign w:val="bottom"/>
            <w:gridSpan w:val="2"/>
          </w:tcPr>
          <w:p>
            <w:pPr>
              <w:jc w:val="right"/>
              <w:ind w:right="34"/>
              <w:spacing w:after="0" w:line="229" w:lineRule="exact"/>
              <w:rPr>
                <w:sz w:val="20"/>
                <w:szCs w:val="20"/>
                <w:color w:val="auto"/>
              </w:rPr>
            </w:pPr>
            <w:r>
              <w:rPr>
                <w:rFonts w:ascii="Arial" w:cs="Arial" w:eastAsia="Arial" w:hAnsi="Arial"/>
                <w:sz w:val="11"/>
                <w:szCs w:val="11"/>
                <w:color w:val="auto"/>
              </w:rPr>
              <w:t>636,561</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Anthony Blasquez</w:t>
            </w:r>
          </w:p>
        </w:tc>
        <w:tc>
          <w:tcPr>
            <w:tcW w:w="260" w:type="dxa"/>
            <w:vAlign w:val="bottom"/>
            <w:tcBorders>
              <w:top w:val="single" w:sz="8" w:color="auto"/>
            </w:tcBorders>
            <w:shd w:val="clear" w:color="auto" w:fill="E5E5E5"/>
          </w:tcPr>
          <w:p>
            <w:pPr>
              <w:ind w:left="12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E5E5E5"/>
          </w:tcPr>
          <w:p>
            <w:pPr>
              <w:ind w:left="40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44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gridSpan w:val="2"/>
            <w:shd w:val="clear" w:color="auto" w:fill="E5E5E5"/>
          </w:tcPr>
          <w:p>
            <w:pPr>
              <w:jc w:val="right"/>
              <w:ind w:right="10"/>
              <w:spacing w:after="0"/>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shd w:val="clear" w:color="auto" w:fill="E5E5E5"/>
          </w:tcPr>
          <w:p>
            <w:pPr>
              <w:ind w:left="34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520" w:type="dxa"/>
            <w:vAlign w:val="bottom"/>
            <w:tcBorders>
              <w:top w:val="single" w:sz="8" w:color="auto"/>
            </w:tcBorders>
            <w:shd w:val="clear" w:color="auto" w:fill="E5E5E5"/>
          </w:tcPr>
          <w:p>
            <w:pPr>
              <w:jc w:val="right"/>
              <w:ind w:right="45"/>
              <w:spacing w:after="0"/>
              <w:rPr>
                <w:sz w:val="20"/>
                <w:szCs w:val="20"/>
                <w:color w:val="auto"/>
              </w:rPr>
            </w:pPr>
            <w:r>
              <w:rPr>
                <w:rFonts w:ascii="Arial" w:cs="Arial" w:eastAsia="Arial" w:hAnsi="Arial"/>
                <w:sz w:val="11"/>
                <w:szCs w:val="11"/>
                <w:b w:val="1"/>
                <w:bCs w:val="1"/>
                <w:color w:val="auto"/>
              </w:rPr>
              <w:t>​​​</w:t>
            </w:r>
          </w:p>
        </w:tc>
        <w:tc>
          <w:tcPr>
            <w:tcW w:w="30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tcBorders>
              <w:top w:val="single" w:sz="8" w:color="auto"/>
            </w:tcBorders>
            <w:shd w:val="clear" w:color="auto" w:fill="E5E5E5"/>
          </w:tcPr>
          <w:p>
            <w:pPr>
              <w:ind w:left="18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E5E5E5"/>
          </w:tcPr>
          <w:p>
            <w:pPr>
              <w:jc w:val="right"/>
              <w:ind w:right="24"/>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ind w:left="28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shd w:val="clear" w:color="auto" w:fill="E5E5E5"/>
          </w:tcPr>
          <w:p>
            <w:pPr>
              <w:ind w:left="40"/>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26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Short-Term Incentive</w:t>
            </w:r>
          </w:p>
        </w:tc>
        <w:tc>
          <w:tcPr>
            <w:tcW w:w="260" w:type="dxa"/>
            <w:vAlign w:val="bottom"/>
          </w:tcPr>
          <w:p>
            <w:pPr>
              <w:ind w:left="1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520" w:type="dxa"/>
            <w:vAlign w:val="bottom"/>
          </w:tcPr>
          <w:p>
            <w:pPr>
              <w:ind w:left="400"/>
              <w:spacing w:after="0"/>
              <w:rPr>
                <w:sz w:val="20"/>
                <w:szCs w:val="20"/>
                <w:color w:val="auto"/>
              </w:rPr>
            </w:pPr>
            <w:r>
              <w:rPr>
                <w:rFonts w:ascii="Arial" w:cs="Arial" w:eastAsia="Arial" w:hAnsi="Arial"/>
                <w:sz w:val="11"/>
                <w:szCs w:val="11"/>
                <w:b w:val="1"/>
                <w:bCs w:val="1"/>
                <w:color w:val="auto"/>
              </w:rPr>
              <w:t>​</w:t>
            </w:r>
          </w:p>
        </w:tc>
        <w:tc>
          <w:tcPr>
            <w:tcW w:w="1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80" w:type="dxa"/>
            <w:vAlign w:val="bottom"/>
            <w:gridSpan w:val="2"/>
          </w:tcPr>
          <w:p>
            <w:pPr>
              <w:jc w:val="right"/>
              <w:ind w:right="4"/>
              <w:spacing w:after="0" w:line="216" w:lineRule="exact"/>
              <w:rPr>
                <w:sz w:val="20"/>
                <w:szCs w:val="20"/>
                <w:color w:val="auto"/>
              </w:rPr>
            </w:pPr>
            <w:r>
              <w:rPr>
                <w:rFonts w:ascii="Arial" w:cs="Arial" w:eastAsia="Arial" w:hAnsi="Arial"/>
                <w:sz w:val="11"/>
                <w:szCs w:val="11"/>
                <w:color w:val="auto"/>
              </w:rPr>
              <w:t>29,070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640" w:type="dxa"/>
            <w:vAlign w:val="bottom"/>
            <w:gridSpan w:val="3"/>
          </w:tcPr>
          <w:p>
            <w:pPr>
              <w:jc w:val="right"/>
              <w:ind w:right="4"/>
              <w:spacing w:after="0" w:line="216" w:lineRule="exact"/>
              <w:rPr>
                <w:sz w:val="20"/>
                <w:szCs w:val="20"/>
                <w:color w:val="auto"/>
              </w:rPr>
            </w:pPr>
            <w:r>
              <w:rPr>
                <w:rFonts w:ascii="Arial" w:cs="Arial" w:eastAsia="Arial" w:hAnsi="Arial"/>
                <w:sz w:val="11"/>
                <w:szCs w:val="11"/>
                <w:color w:val="auto"/>
              </w:rPr>
              <w:t>290,700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60" w:type="dxa"/>
            <w:vAlign w:val="bottom"/>
            <w:gridSpan w:val="3"/>
          </w:tcPr>
          <w:p>
            <w:pPr>
              <w:jc w:val="right"/>
              <w:ind w:right="10"/>
              <w:spacing w:after="0" w:line="216" w:lineRule="exact"/>
              <w:rPr>
                <w:sz w:val="20"/>
                <w:szCs w:val="20"/>
                <w:color w:val="auto"/>
              </w:rPr>
            </w:pPr>
            <w:r>
              <w:rPr>
                <w:rFonts w:ascii="Arial" w:cs="Arial" w:eastAsia="Arial" w:hAnsi="Arial"/>
                <w:sz w:val="11"/>
                <w:szCs w:val="11"/>
                <w:color w:val="auto"/>
              </w:rPr>
              <w:t>581,400</w:t>
            </w:r>
            <w:r>
              <w:rPr>
                <w:rFonts w:ascii="Arial" w:cs="Arial" w:eastAsia="Arial" w:hAnsi="Arial"/>
                <w:sz w:val="22"/>
                <w:szCs w:val="22"/>
                <w:color w:val="auto"/>
                <w:vertAlign w:val="subscript"/>
              </w:rPr>
              <w:t>​​​</w:t>
            </w:r>
          </w:p>
        </w:tc>
        <w:tc>
          <w:tcPr>
            <w:tcW w:w="60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220" w:type="dxa"/>
            <w:vAlign w:val="bottom"/>
            <w:gridSpan w:val="3"/>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220" w:type="dxa"/>
            <w:vAlign w:val="bottom"/>
          </w:tcPr>
          <w:p>
            <w:pPr>
              <w:ind w:left="18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42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60" w:type="dxa"/>
            <w:vAlign w:val="bottom"/>
          </w:tcPr>
          <w:p>
            <w:pPr>
              <w:ind w:left="4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xml:space="preserve"> ​</w:t>
            </w:r>
          </w:p>
        </w:tc>
        <w:tc>
          <w:tcPr>
            <w:tcW w:w="3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34"/>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E5E5E5"/>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Restricted Stock Units</w:t>
            </w:r>
          </w:p>
        </w:tc>
        <w:tc>
          <w:tcPr>
            <w:tcW w:w="7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520" w:type="dxa"/>
            <w:vAlign w:val="bottom"/>
            <w:shd w:val="clear" w:color="auto" w:fill="E5E5E5"/>
          </w:tcPr>
          <w:p>
            <w:pPr>
              <w:ind w:left="40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100" w:type="dxa"/>
            <w:vAlign w:val="bottom"/>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shd w:val="clear" w:color="auto" w:fill="E5E5E5"/>
          </w:tcPr>
          <w:p>
            <w:pPr>
              <w:jc w:val="right"/>
              <w:ind w:right="10"/>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shd w:val="clear" w:color="auto" w:fill="E5E5E5"/>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7,752</w:t>
            </w:r>
            <w:r>
              <w:rPr>
                <w:rFonts w:ascii="Arial" w:cs="Arial" w:eastAsia="Arial" w:hAnsi="Arial"/>
                <w:sz w:val="22"/>
                <w:szCs w:val="22"/>
                <w:color w:val="auto"/>
                <w:vertAlign w:val="subscript"/>
              </w:rPr>
              <w:t>​​​</w:t>
            </w:r>
          </w:p>
        </w:tc>
        <w:tc>
          <w:tcPr>
            <w:tcW w:w="64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80" w:type="dxa"/>
            <w:vAlign w:val="bottom"/>
            <w:shd w:val="clear" w:color="auto" w:fill="E5E5E5"/>
          </w:tcPr>
          <w:p>
            <w:pPr>
              <w:jc w:val="right"/>
              <w:spacing w:after="0" w:line="216" w:lineRule="exact"/>
              <w:rPr>
                <w:sz w:val="20"/>
                <w:szCs w:val="20"/>
                <w:color w:val="auto"/>
              </w:rPr>
            </w:pPr>
            <w:r>
              <w:rPr>
                <w:rFonts w:ascii="Arial" w:cs="Arial" w:eastAsia="Arial" w:hAnsi="Arial"/>
                <w:sz w:val="11"/>
                <w:szCs w:val="11"/>
                <w:color w:val="auto"/>
              </w:rPr>
              <w:t>205,893</w:t>
            </w:r>
            <w:r>
              <w:rPr>
                <w:rFonts w:ascii="Arial" w:cs="Arial" w:eastAsia="Arial" w:hAnsi="Arial"/>
                <w:sz w:val="22"/>
                <w:szCs w:val="22"/>
                <w:color w:val="auto"/>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Performance Stock Units</w:t>
            </w:r>
          </w:p>
        </w:tc>
        <w:tc>
          <w:tcPr>
            <w:tcW w:w="7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xml:space="preserve"> ​</w:t>
            </w:r>
          </w:p>
        </w:tc>
        <w:tc>
          <w:tcPr>
            <w:tcW w:w="58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tcPr>
          <w:p>
            <w:pPr>
              <w:jc w:val="right"/>
              <w:ind w:right="10"/>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29" w:lineRule="exact"/>
              <w:rPr>
                <w:sz w:val="20"/>
                <w:szCs w:val="20"/>
                <w:color w:val="auto"/>
              </w:rPr>
            </w:pPr>
            <w:r>
              <w:rPr>
                <w:rFonts w:ascii="Arial" w:cs="Arial" w:eastAsia="Arial" w:hAnsi="Arial"/>
                <w:sz w:val="11"/>
                <w:szCs w:val="11"/>
                <w:color w:val="auto"/>
              </w:rPr>
              <w:t>23,258</w:t>
            </w:r>
            <w:r>
              <w:rPr>
                <w:rFonts w:ascii="Arial" w:cs="Arial" w:eastAsia="Arial" w:hAnsi="Arial"/>
                <w:sz w:val="22"/>
                <w:szCs w:val="22"/>
                <w:color w:val="auto"/>
                <w:vertAlign w:val="subscript"/>
              </w:rPr>
              <w:t>​​​</w:t>
            </w:r>
          </w:p>
        </w:tc>
        <w:tc>
          <w:tcPr>
            <w:tcW w:w="520" w:type="dxa"/>
            <w:vAlign w:val="bottom"/>
            <w:gridSpan w:val="4"/>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46,516</w:t>
            </w:r>
            <w:r>
              <w:rPr>
                <w:rFonts w:ascii="Arial" w:cs="Arial" w:eastAsia="Arial" w:hAnsi="Arial"/>
                <w:sz w:val="22"/>
                <w:szCs w:val="22"/>
                <w:color w:val="auto"/>
                <w:vertAlign w:val="subscript"/>
              </w:rPr>
              <w:t>​​​</w:t>
            </w:r>
          </w:p>
        </w:tc>
        <w:tc>
          <w:tcPr>
            <w:tcW w:w="220" w:type="dxa"/>
            <w:vAlign w:val="bottom"/>
          </w:tcPr>
          <w:p>
            <w:pPr>
              <w:ind w:left="180"/>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420" w:type="dxa"/>
            <w:vAlign w:val="bottom"/>
            <w:gridSpan w:val="2"/>
          </w:tcPr>
          <w:p>
            <w:pPr>
              <w:jc w:val="right"/>
              <w:spacing w:after="0" w:line="22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29"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40" w:type="dxa"/>
            <w:vAlign w:val="bottom"/>
            <w:gridSpan w:val="3"/>
          </w:tcPr>
          <w:p>
            <w:pPr>
              <w:jc w:val="right"/>
              <w:spacing w:after="0" w:line="22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600" w:type="dxa"/>
            <w:vAlign w:val="bottom"/>
            <w:gridSpan w:val="2"/>
          </w:tcPr>
          <w:p>
            <w:pPr>
              <w:jc w:val="right"/>
              <w:ind w:right="34"/>
              <w:spacing w:after="0" w:line="229" w:lineRule="exact"/>
              <w:rPr>
                <w:sz w:val="20"/>
                <w:szCs w:val="20"/>
                <w:color w:val="auto"/>
              </w:rPr>
            </w:pPr>
            <w:r>
              <w:rPr>
                <w:rFonts w:ascii="Arial" w:cs="Arial" w:eastAsia="Arial" w:hAnsi="Arial"/>
                <w:sz w:val="11"/>
                <w:szCs w:val="11"/>
                <w:color w:val="auto"/>
              </w:rPr>
              <w:t>630,059</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1"/>
                <w:szCs w:val="11"/>
                <w:b w:val="1"/>
                <w:bCs w:val="1"/>
                <w:color w:val="auto"/>
              </w:rPr>
              <w:t>Bryan Pechersky</w:t>
            </w:r>
          </w:p>
        </w:tc>
        <w:tc>
          <w:tcPr>
            <w:tcW w:w="260" w:type="dxa"/>
            <w:vAlign w:val="bottom"/>
            <w:tcBorders>
              <w:top w:val="single" w:sz="8" w:color="auto"/>
            </w:tcBorders>
            <w:shd w:val="clear" w:color="auto" w:fill="E5E5E5"/>
          </w:tcPr>
          <w:p>
            <w:pPr>
              <w:ind w:left="12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E5E5E5"/>
          </w:tcPr>
          <w:p>
            <w:pPr>
              <w:ind w:left="40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3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44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gridSpan w:val="2"/>
            <w:shd w:val="clear" w:color="auto" w:fill="E5E5E5"/>
          </w:tcPr>
          <w:p>
            <w:pPr>
              <w:jc w:val="right"/>
              <w:ind w:right="10"/>
              <w:spacing w:after="0"/>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shd w:val="clear" w:color="auto" w:fill="E5E5E5"/>
          </w:tcPr>
          <w:p>
            <w:pPr>
              <w:ind w:left="34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jc w:val="right"/>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520" w:type="dxa"/>
            <w:vAlign w:val="bottom"/>
            <w:tcBorders>
              <w:top w:val="single" w:sz="8" w:color="auto"/>
            </w:tcBorders>
            <w:shd w:val="clear" w:color="auto" w:fill="E5E5E5"/>
          </w:tcPr>
          <w:p>
            <w:pPr>
              <w:jc w:val="right"/>
              <w:ind w:right="45"/>
              <w:spacing w:after="0"/>
              <w:rPr>
                <w:sz w:val="20"/>
                <w:szCs w:val="20"/>
                <w:color w:val="auto"/>
              </w:rPr>
            </w:pPr>
            <w:r>
              <w:rPr>
                <w:rFonts w:ascii="Arial" w:cs="Arial" w:eastAsia="Arial" w:hAnsi="Arial"/>
                <w:sz w:val="11"/>
                <w:szCs w:val="11"/>
                <w:b w:val="1"/>
                <w:bCs w:val="1"/>
                <w:color w:val="auto"/>
              </w:rPr>
              <w:t>​​​</w:t>
            </w:r>
          </w:p>
        </w:tc>
        <w:tc>
          <w:tcPr>
            <w:tcW w:w="300" w:type="dxa"/>
            <w:vAlign w:val="bottom"/>
            <w:tcBorders>
              <w:top w:val="single" w:sz="8" w:color="auto"/>
            </w:tcBorders>
            <w:shd w:val="clear" w:color="auto" w:fill="E5E5E5"/>
          </w:tcPr>
          <w:p>
            <w:pPr>
              <w:ind w:left="2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tcBorders>
              <w:top w:val="single" w:sz="8" w:color="auto"/>
            </w:tcBorders>
            <w:shd w:val="clear" w:color="auto" w:fill="E5E5E5"/>
          </w:tcPr>
          <w:p>
            <w:pPr>
              <w:ind w:left="18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3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E5E5E5"/>
          </w:tcPr>
          <w:p>
            <w:pPr>
              <w:jc w:val="right"/>
              <w:ind w:right="24"/>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E5E5E5"/>
          </w:tcPr>
          <w:p>
            <w:pPr>
              <w:ind w:left="280"/>
              <w:spacing w:after="0" w:line="20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2"/>
                <w:szCs w:val="22"/>
                <w:b w:val="1"/>
                <w:bCs w:val="1"/>
                <w:color w:val="auto"/>
                <w:vertAlign w:val="superscript"/>
              </w:rPr>
              <w:t>​</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shd w:val="clear" w:color="auto" w:fill="E5E5E5"/>
          </w:tcPr>
          <w:p>
            <w:pPr>
              <w:ind w:left="40"/>
              <w:spacing w:after="0" w:line="20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2"/>
                <w:szCs w:val="22"/>
                <w:b w:val="1"/>
                <w:bCs w:val="1"/>
                <w:color w:val="auto"/>
                <w:vertAlign w:val="superscript"/>
              </w:rPr>
              <w:t>​</w:t>
            </w:r>
          </w:p>
        </w:tc>
        <w:tc>
          <w:tcPr>
            <w:tcW w:w="26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Short-Term Incentive</w:t>
            </w:r>
          </w:p>
        </w:tc>
        <w:tc>
          <w:tcPr>
            <w:tcW w:w="260" w:type="dxa"/>
            <w:vAlign w:val="bottom"/>
          </w:tcPr>
          <w:p>
            <w:pPr>
              <w:ind w:left="1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620" w:type="dxa"/>
            <w:vAlign w:val="bottom"/>
            <w:gridSpan w:val="3"/>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Pr>
          <w:p>
            <w:pPr>
              <w:ind w:left="20"/>
              <w:spacing w:after="0" w:line="216" w:lineRule="exact"/>
              <w:rPr>
                <w:sz w:val="20"/>
                <w:szCs w:val="20"/>
                <w:color w:val="auto"/>
              </w:rPr>
            </w:pPr>
            <w:r>
              <w:rPr>
                <w:rFonts w:ascii="Arial" w:cs="Arial" w:eastAsia="Arial" w:hAnsi="Arial"/>
                <w:sz w:val="11"/>
                <w:szCs w:val="11"/>
                <w:color w:val="auto"/>
                <w:w w:val="97"/>
              </w:rPr>
              <w:t>​</w:t>
            </w:r>
            <w:r>
              <w:rPr>
                <w:rFonts w:ascii="Arial" w:cs="Arial" w:eastAsia="Arial" w:hAnsi="Arial"/>
                <w:sz w:val="22"/>
                <w:szCs w:val="22"/>
                <w:color w:val="auto"/>
                <w:w w:val="97"/>
                <w:vertAlign w:val="superscript"/>
              </w:rPr>
              <w:t>$</w:t>
            </w:r>
          </w:p>
        </w:tc>
        <w:tc>
          <w:tcPr>
            <w:tcW w:w="580" w:type="dxa"/>
            <w:vAlign w:val="bottom"/>
            <w:gridSpan w:val="2"/>
          </w:tcPr>
          <w:p>
            <w:pPr>
              <w:jc w:val="right"/>
              <w:ind w:right="4"/>
              <w:spacing w:after="0" w:line="216" w:lineRule="exact"/>
              <w:rPr>
                <w:sz w:val="20"/>
                <w:szCs w:val="20"/>
                <w:color w:val="auto"/>
              </w:rPr>
            </w:pPr>
            <w:r>
              <w:rPr>
                <w:rFonts w:ascii="Arial" w:cs="Arial" w:eastAsia="Arial" w:hAnsi="Arial"/>
                <w:sz w:val="11"/>
                <w:szCs w:val="11"/>
                <w:color w:val="auto"/>
              </w:rPr>
              <w:t>27,600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640" w:type="dxa"/>
            <w:vAlign w:val="bottom"/>
            <w:gridSpan w:val="3"/>
          </w:tcPr>
          <w:p>
            <w:pPr>
              <w:jc w:val="right"/>
              <w:ind w:right="4"/>
              <w:spacing w:after="0" w:line="216" w:lineRule="exact"/>
              <w:rPr>
                <w:sz w:val="20"/>
                <w:szCs w:val="20"/>
                <w:color w:val="auto"/>
              </w:rPr>
            </w:pPr>
            <w:r>
              <w:rPr>
                <w:rFonts w:ascii="Arial" w:cs="Arial" w:eastAsia="Arial" w:hAnsi="Arial"/>
                <w:sz w:val="11"/>
                <w:szCs w:val="11"/>
                <w:color w:val="auto"/>
              </w:rPr>
              <w:t>276,000</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60" w:type="dxa"/>
            <w:vAlign w:val="bottom"/>
            <w:gridSpan w:val="3"/>
          </w:tcPr>
          <w:p>
            <w:pPr>
              <w:jc w:val="right"/>
              <w:ind w:right="10"/>
              <w:spacing w:after="0" w:line="216" w:lineRule="exact"/>
              <w:rPr>
                <w:sz w:val="20"/>
                <w:szCs w:val="20"/>
                <w:color w:val="auto"/>
              </w:rPr>
            </w:pPr>
            <w:r>
              <w:rPr>
                <w:rFonts w:ascii="Arial" w:cs="Arial" w:eastAsia="Arial" w:hAnsi="Arial"/>
                <w:sz w:val="11"/>
                <w:szCs w:val="11"/>
                <w:color w:val="auto"/>
              </w:rPr>
              <w:t>552,000</w:t>
            </w:r>
            <w:r>
              <w:rPr>
                <w:rFonts w:ascii="Arial" w:cs="Arial" w:eastAsia="Arial" w:hAnsi="Arial"/>
                <w:sz w:val="22"/>
                <w:szCs w:val="22"/>
                <w:color w:val="auto"/>
                <w:vertAlign w:val="subscript"/>
              </w:rPr>
              <w:t>​​​</w:t>
            </w:r>
          </w:p>
        </w:tc>
        <w:tc>
          <w:tcPr>
            <w:tcW w:w="60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tcPr>
          <w:p>
            <w:pPr>
              <w:ind w:left="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220" w:type="dxa"/>
            <w:vAlign w:val="bottom"/>
          </w:tcPr>
          <w:p>
            <w:pPr>
              <w:ind w:left="18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160" w:type="dxa"/>
            <w:vAlign w:val="bottom"/>
          </w:tcPr>
          <w:p>
            <w:pPr>
              <w:ind w:left="4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380" w:type="dxa"/>
            <w:vAlign w:val="bottom"/>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34"/>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E5E5E5"/>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Restricted Stock Units</w:t>
            </w:r>
          </w:p>
        </w:tc>
        <w:tc>
          <w:tcPr>
            <w:tcW w:w="7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gridSpan w:val="3"/>
            <w:shd w:val="clear" w:color="auto" w:fill="E5E5E5"/>
          </w:tcPr>
          <w:p>
            <w:pPr>
              <w:jc w:val="right"/>
              <w:ind w:right="10"/>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shd w:val="clear" w:color="auto" w:fill="E5E5E5"/>
          </w:tcPr>
          <w:p>
            <w:pPr>
              <w:jc w:val="right"/>
              <w:ind w:right="45"/>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300" w:type="dxa"/>
            <w:vAlign w:val="bottom"/>
            <w:shd w:val="clear" w:color="auto" w:fill="E5E5E5"/>
          </w:tcPr>
          <w:p>
            <w:pPr>
              <w:ind w:left="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22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5,195</w:t>
            </w:r>
            <w:r>
              <w:rPr>
                <w:rFonts w:ascii="Arial" w:cs="Arial" w:eastAsia="Arial" w:hAnsi="Arial"/>
                <w:sz w:val="22"/>
                <w:szCs w:val="22"/>
                <w:color w:val="auto"/>
                <w:vertAlign w:val="subscript"/>
              </w:rPr>
              <w:t>​​​</w:t>
            </w:r>
          </w:p>
        </w:tc>
        <w:tc>
          <w:tcPr>
            <w:tcW w:w="64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gridSpan w:val="2"/>
            <w:shd w:val="clear" w:color="auto" w:fill="E5E5E5"/>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40" w:type="dxa"/>
            <w:vAlign w:val="bottom"/>
            <w:gridSpan w:val="3"/>
            <w:shd w:val="clear" w:color="auto" w:fill="E5E5E5"/>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80" w:type="dxa"/>
            <w:vAlign w:val="bottom"/>
            <w:shd w:val="clear" w:color="auto" w:fill="E5E5E5"/>
          </w:tcPr>
          <w:p>
            <w:pPr>
              <w:jc w:val="right"/>
              <w:spacing w:after="0" w:line="216" w:lineRule="exact"/>
              <w:rPr>
                <w:sz w:val="20"/>
                <w:szCs w:val="20"/>
                <w:color w:val="auto"/>
              </w:rPr>
            </w:pPr>
            <w:r>
              <w:rPr>
                <w:rFonts w:ascii="Arial" w:cs="Arial" w:eastAsia="Arial" w:hAnsi="Arial"/>
                <w:sz w:val="11"/>
                <w:szCs w:val="11"/>
                <w:color w:val="auto"/>
              </w:rPr>
              <w:t>137,979</w:t>
            </w:r>
            <w:r>
              <w:rPr>
                <w:rFonts w:ascii="Arial" w:cs="Arial" w:eastAsia="Arial" w:hAnsi="Arial"/>
                <w:sz w:val="22"/>
                <w:szCs w:val="22"/>
                <w:color w:val="auto"/>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Performance Stock Units</w:t>
            </w:r>
          </w:p>
        </w:tc>
        <w:tc>
          <w:tcPr>
            <w:tcW w:w="740" w:type="dxa"/>
            <w:vAlign w:val="bottom"/>
            <w:tcBorders>
              <w:bottom w:val="single" w:sz="8" w:color="auto"/>
            </w:tcBorders>
            <w:gridSpan w:val="3"/>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​2/24/2025</w:t>
            </w:r>
            <w:r>
              <w:rPr>
                <w:rFonts w:ascii="Arial" w:cs="Arial" w:eastAsia="Arial" w:hAnsi="Arial"/>
                <w:sz w:val="22"/>
                <w:szCs w:val="22"/>
                <w:b w:val="1"/>
                <w:bCs w:val="1"/>
                <w:color w:val="auto"/>
                <w:vertAlign w:val="subscript"/>
              </w:rPr>
              <w:t>​</w:t>
            </w:r>
            <w:r>
              <w:rPr>
                <w:rFonts w:ascii="Arial" w:cs="Arial" w:eastAsia="Arial" w:hAnsi="Arial"/>
                <w:sz w:val="22"/>
                <w:szCs w:val="22"/>
                <w:color w:val="auto"/>
                <w:vertAlign w:val="subscript"/>
              </w:rPr>
              <w:t>​</w:t>
            </w:r>
          </w:p>
        </w:tc>
        <w:tc>
          <w:tcPr>
            <w:tcW w:w="620" w:type="dxa"/>
            <w:vAlign w:val="bottom"/>
            <w:tcBorders>
              <w:bottom w:val="single" w:sz="8" w:color="auto"/>
            </w:tcBorders>
            <w:gridSpan w:val="3"/>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1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8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640" w:type="dxa"/>
            <w:vAlign w:val="bottom"/>
            <w:tcBorders>
              <w:bottom w:val="single" w:sz="8" w:color="auto"/>
            </w:tcBorders>
            <w:gridSpan w:val="3"/>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22"/>
                <w:szCs w:val="22"/>
                <w:color w:val="auto"/>
                <w:vertAlign w:val="superscript"/>
              </w:rPr>
              <w:t>​</w:t>
            </w:r>
          </w:p>
        </w:tc>
        <w:tc>
          <w:tcPr>
            <w:tcW w:w="560" w:type="dxa"/>
            <w:vAlign w:val="bottom"/>
            <w:tcBorders>
              <w:bottom w:val="single" w:sz="8" w:color="auto"/>
            </w:tcBorders>
            <w:gridSpan w:val="3"/>
          </w:tcPr>
          <w:p>
            <w:pPr>
              <w:jc w:val="right"/>
              <w:ind w:right="10"/>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0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20" w:type="dxa"/>
            <w:vAlign w:val="bottom"/>
            <w:tcBorders>
              <w:bottom w:val="single" w:sz="8" w:color="auto"/>
            </w:tcBorders>
          </w:tcPr>
          <w:p>
            <w:pPr>
              <w:jc w:val="right"/>
              <w:ind w:right="45"/>
              <w:spacing w:after="0" w:line="216" w:lineRule="exact"/>
              <w:rPr>
                <w:sz w:val="20"/>
                <w:szCs w:val="20"/>
                <w:color w:val="auto"/>
              </w:rPr>
            </w:pPr>
            <w:r>
              <w:rPr>
                <w:rFonts w:ascii="Arial" w:cs="Arial" w:eastAsia="Arial" w:hAnsi="Arial"/>
                <w:sz w:val="11"/>
                <w:szCs w:val="11"/>
                <w:color w:val="auto"/>
              </w:rPr>
              <w:t>15,587</w:t>
            </w:r>
            <w:r>
              <w:rPr>
                <w:rFonts w:ascii="Arial" w:cs="Arial" w:eastAsia="Arial" w:hAnsi="Arial"/>
                <w:sz w:val="22"/>
                <w:szCs w:val="22"/>
                <w:color w:val="auto"/>
                <w:vertAlign w:val="subscript"/>
              </w:rPr>
              <w:t>​​​</w:t>
            </w:r>
          </w:p>
        </w:tc>
        <w:tc>
          <w:tcPr>
            <w:tcW w:w="520" w:type="dxa"/>
            <w:vAlign w:val="bottom"/>
            <w:tcBorders>
              <w:bottom w:val="single" w:sz="8" w:color="auto"/>
            </w:tcBorders>
            <w:gridSpan w:val="4"/>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31,174</w:t>
            </w:r>
            <w:r>
              <w:rPr>
                <w:rFonts w:ascii="Arial" w:cs="Arial" w:eastAsia="Arial" w:hAnsi="Arial"/>
                <w:sz w:val="22"/>
                <w:szCs w:val="22"/>
                <w:color w:val="auto"/>
                <w:vertAlign w:val="subscript"/>
              </w:rPr>
              <w:t>​​​</w:t>
            </w:r>
          </w:p>
        </w:tc>
        <w:tc>
          <w:tcPr>
            <w:tcW w:w="220" w:type="dxa"/>
            <w:vAlign w:val="bottom"/>
            <w:tcBorders>
              <w:bottom w:val="single" w:sz="8" w:color="auto"/>
            </w:tcBorders>
          </w:tcPr>
          <w:p>
            <w:pPr>
              <w:ind w:left="18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42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64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2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r>
              <w:rPr>
                <w:rFonts w:ascii="Arial" w:cs="Arial" w:eastAsia="Arial" w:hAnsi="Arial"/>
                <w:sz w:val="11"/>
                <w:szCs w:val="11"/>
                <w:color w:val="auto"/>
              </w:rPr>
              <w:t>​​​</w:t>
            </w:r>
          </w:p>
        </w:tc>
        <w:tc>
          <w:tcPr>
            <w:tcW w:w="540" w:type="dxa"/>
            <w:vAlign w:val="bottom"/>
            <w:tcBorders>
              <w:bottom w:val="single" w:sz="8" w:color="auto"/>
            </w:tcBorders>
            <w:gridSpan w:val="3"/>
          </w:tcPr>
          <w:p>
            <w:pPr>
              <w:jc w:val="right"/>
              <w:spacing w:after="0" w:line="216"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$ 26.56</w:t>
            </w:r>
            <w:r>
              <w:rPr>
                <w:rFonts w:ascii="Arial" w:cs="Arial" w:eastAsia="Arial" w:hAnsi="Arial"/>
                <w:sz w:val="22"/>
                <w:szCs w:val="22"/>
                <w:color w:val="auto"/>
                <w:vertAlign w:val="subscript"/>
              </w:rPr>
              <w:t>​​​​</w:t>
            </w:r>
            <w:r>
              <w:rPr>
                <w:rFonts w:ascii="Arial" w:cs="Arial" w:eastAsia="Arial" w:hAnsi="Arial"/>
                <w:sz w:val="11"/>
                <w:szCs w:val="11"/>
                <w:color w:val="auto"/>
              </w:rPr>
              <w:t>​</w:t>
            </w:r>
          </w:p>
        </w:tc>
        <w:tc>
          <w:tcPr>
            <w:tcW w:w="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1"/>
                <w:szCs w:val="11"/>
                <w:color w:val="auto"/>
              </w:rPr>
              <w:t>422,252</w:t>
            </w:r>
            <w:r>
              <w:rPr>
                <w:rFonts w:ascii="Arial" w:cs="Arial" w:eastAsia="Arial" w:hAnsi="Arial"/>
                <w:sz w:val="22"/>
                <w:szCs w:val="22"/>
                <w:color w:val="auto"/>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left="1120" w:right="20" w:hanging="358"/>
        <w:spacing w:after="0" w:line="271" w:lineRule="auto"/>
        <w:tabs>
          <w:tab w:leader="none" w:pos="11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These columns show the potential value of the payout of the annual cash incentive awards for 2025 performance for each named executive officer if the threshold, target and maximum performance levels are achieved. The potential payout is performance-based and driven by company performance. The actual amount of the annual cash incentive awards paid for 2025 performance is shown in the Summary Compensation Table under the “Non-Equity Incentive Plan Compensation” column.</w:t>
      </w:r>
    </w:p>
    <w:p>
      <w:pPr>
        <w:spacing w:after="0" w:line="1" w:lineRule="exact"/>
        <w:rPr>
          <w:rFonts w:ascii="Arial" w:cs="Arial" w:eastAsia="Arial" w:hAnsi="Arial"/>
          <w:sz w:val="14"/>
          <w:szCs w:val="14"/>
          <w:i w:val="1"/>
          <w:iCs w:val="1"/>
          <w:color w:val="auto"/>
        </w:rPr>
      </w:pPr>
    </w:p>
    <w:p>
      <w:pPr>
        <w:jc w:val="both"/>
        <w:ind w:left="1120" w:right="20" w:hanging="358"/>
        <w:spacing w:after="0" w:line="269" w:lineRule="auto"/>
        <w:tabs>
          <w:tab w:leader="none" w:pos="11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performance-based restricted stock units that vest depending on our relative TSR performance over a three-year measurement period as compared to the S&amp;P 1500 Specialty Retail Index and if the named executive officer remains an employee through the end of such vesting period. The issuance of the stock underlying the performance-based restricted stock units granted to our named executive officers will range from a minimum of zero shares if our relative TSR performance is below the 25th percentile, to the maximum number of shares if our relative TSR performance ranks in at least the 90th percentile. The award granted to Mr. Fadel was forfeited by its terms upon his retirement effective June 1, 2025; under the letter agreement we entered into with him in April 2024, continued vesting did not apply to this award because his retirement occurred prior to the first anniversary of the grant date.</w:t>
      </w:r>
    </w:p>
    <w:p>
      <w:pPr>
        <w:spacing w:after="0" w:line="4" w:lineRule="exact"/>
        <w:rPr>
          <w:rFonts w:ascii="Arial" w:cs="Arial" w:eastAsia="Arial" w:hAnsi="Arial"/>
          <w:sz w:val="14"/>
          <w:szCs w:val="14"/>
          <w:i w:val="1"/>
          <w:iCs w:val="1"/>
          <w:color w:val="auto"/>
        </w:rPr>
      </w:pPr>
    </w:p>
    <w:p>
      <w:pPr>
        <w:jc w:val="both"/>
        <w:ind w:left="1120" w:right="20" w:hanging="358"/>
        <w:spacing w:after="0" w:line="266" w:lineRule="auto"/>
        <w:tabs>
          <w:tab w:leader="none" w:pos="11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restricted stock units that vest ratably over a three-year period of continuous employment with us from February 24, 2025. The award granted to Mr. Fadel was forfeited by its terms upon his retirement effective June 1, 2025; under the letter agreement we entered into with him in April 2024, continued vesting did not apply to this award because his retirement occurred prior to the first anniversary of the grant date.</w:t>
      </w:r>
    </w:p>
    <w:p>
      <w:pPr>
        <w:spacing w:after="0" w:line="1" w:lineRule="exact"/>
        <w:rPr>
          <w:rFonts w:ascii="Arial" w:cs="Arial" w:eastAsia="Arial" w:hAnsi="Arial"/>
          <w:sz w:val="14"/>
          <w:szCs w:val="14"/>
          <w:i w:val="1"/>
          <w:iCs w:val="1"/>
          <w:color w:val="auto"/>
        </w:rPr>
      </w:pPr>
    </w:p>
    <w:p>
      <w:pPr>
        <w:ind w:left="1120" w:right="20" w:hanging="358"/>
        <w:spacing w:after="0" w:line="304" w:lineRule="auto"/>
        <w:tabs>
          <w:tab w:leader="none" w:pos="11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See footnote 1 to the “Summary Compensation Table” for a description of the method used to determine the grant date fair value of stock awards. This value may differ from the value represented in the “Summary Compensation Table” due to rounding.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48</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56" w:lineRule="exact"/>
        <w:rPr>
          <w:sz w:val="20"/>
          <w:szCs w:val="20"/>
          <w:color w:val="auto"/>
        </w:rPr>
      </w:pPr>
    </w:p>
    <w:p>
      <w:pPr>
        <w:ind w:left="760" w:right="40"/>
        <w:spacing w:after="0" w:line="286" w:lineRule="auto"/>
        <w:rPr>
          <w:sz w:val="20"/>
          <w:szCs w:val="20"/>
          <w:color w:val="auto"/>
        </w:rPr>
      </w:pPr>
      <w:r>
        <w:rPr>
          <w:rFonts w:ascii="Arial" w:cs="Arial" w:eastAsia="Arial" w:hAnsi="Arial"/>
          <w:sz w:val="16"/>
          <w:szCs w:val="16"/>
          <w:color w:val="auto"/>
        </w:rPr>
        <w:t>The following table provides information regarding stock options and restricted stock units held by the named executive officers that were outstanding at December 31, 2025.</w:t>
      </w:r>
    </w:p>
    <w:p>
      <w:pPr>
        <w:spacing w:after="0" w:line="120"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874"/>
              <w:spacing w:after="0"/>
              <w:rPr>
                <w:sz w:val="20"/>
                <w:szCs w:val="20"/>
                <w:color w:val="auto"/>
              </w:rPr>
            </w:pPr>
            <w:r>
              <w:rPr>
                <w:rFonts w:ascii="Arial" w:cs="Arial" w:eastAsia="Arial" w:hAnsi="Arial"/>
                <w:sz w:val="1"/>
                <w:szCs w:val="1"/>
                <w:b w:val="1"/>
                <w:bCs w:val="1"/>
                <w:color w:val="auto"/>
                <w:w w:val="4294942296"/>
              </w:rPr>
              <w:t>​</w:t>
            </w:r>
          </w:p>
        </w:tc>
        <w:tc>
          <w:tcPr>
            <w:tcW w:w="400" w:type="dxa"/>
            <w:vAlign w:val="bottom"/>
          </w:tcPr>
          <w:p>
            <w:pPr>
              <w:spacing w:after="0"/>
              <w:rPr>
                <w:sz w:val="18"/>
                <w:szCs w:val="18"/>
                <w:color w:val="auto"/>
              </w:rPr>
            </w:pPr>
          </w:p>
        </w:tc>
        <w:tc>
          <w:tcPr>
            <w:tcW w:w="170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Equity</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Incentive  Plan Awards: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Plan</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Market</w:t>
            </w: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Value of</w:t>
            </w: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Unearned</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Number of</w:t>
            </w: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of Shares</w:t>
            </w:r>
          </w:p>
        </w:tc>
        <w:tc>
          <w:tcPr>
            <w:tcW w:w="82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Shares or</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Securities</w:t>
            </w: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or Units</w:t>
            </w:r>
          </w:p>
        </w:tc>
        <w:tc>
          <w:tcPr>
            <w:tcW w:w="8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rPr>
              <w:t>Units of</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Units or</w:t>
            </w:r>
          </w:p>
        </w:tc>
        <w:tc>
          <w:tcPr>
            <w:tcW w:w="2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Underlying</w:t>
            </w: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of Stock</w:t>
            </w:r>
          </w:p>
        </w:tc>
        <w:tc>
          <w:tcPr>
            <w:tcW w:w="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Unexercised</w:t>
            </w: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rPr>
              <w:t>Unexercised</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5"/>
                <w:szCs w:val="15"/>
                <w:color w:val="auto"/>
              </w:rPr>
            </w:pPr>
          </w:p>
        </w:tc>
        <w:tc>
          <w:tcPr>
            <w:tcW w:w="560" w:type="dxa"/>
            <w:vAlign w:val="bottom"/>
          </w:tcPr>
          <w:p>
            <w:pPr>
              <w:jc w:val="right"/>
              <w:ind w:right="141"/>
              <w:spacing w:after="0"/>
              <w:rPr>
                <w:sz w:val="20"/>
                <w:szCs w:val="20"/>
                <w:color w:val="auto"/>
              </w:rPr>
            </w:pPr>
            <w:r>
              <w:rPr>
                <w:rFonts w:ascii="Arial" w:cs="Arial" w:eastAsia="Arial" w:hAnsi="Arial"/>
                <w:sz w:val="14"/>
                <w:szCs w:val="14"/>
                <w:b w:val="1"/>
                <w:bCs w:val="1"/>
                <w:color w:val="auto"/>
              </w:rPr>
              <w:t>That</w:t>
            </w:r>
          </w:p>
        </w:tc>
        <w:tc>
          <w:tcPr>
            <w:tcW w:w="80" w:type="dxa"/>
            <w:vAlign w:val="bottom"/>
          </w:tcPr>
          <w:p>
            <w:pPr>
              <w:spacing w:after="0"/>
              <w:rPr>
                <w:sz w:val="15"/>
                <w:szCs w:val="15"/>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rPr>
              <w:t>That</w:t>
            </w:r>
          </w:p>
        </w:tc>
        <w:tc>
          <w:tcPr>
            <w:tcW w:w="26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Rights</w:t>
            </w:r>
          </w:p>
        </w:tc>
        <w:tc>
          <w:tcPr>
            <w:tcW w:w="2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76"/>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Options −</w:t>
            </w:r>
          </w:p>
        </w:tc>
        <w:tc>
          <w:tcPr>
            <w:tcW w:w="256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Options − Exercise  Expiration</w:t>
            </w:r>
          </w:p>
        </w:tc>
        <w:tc>
          <w:tcPr>
            <w:tcW w:w="80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Have Not</w:t>
            </w:r>
          </w:p>
        </w:tc>
        <w:tc>
          <w:tcPr>
            <w:tcW w:w="82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Have Not</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That Have</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212"/>
        </w:trPr>
        <w:tc>
          <w:tcPr>
            <w:tcW w:w="1200" w:type="dxa"/>
            <w:vAlign w:val="bottom"/>
            <w:vMerge w:val="continue"/>
          </w:tcPr>
          <w:p>
            <w:pPr>
              <w:spacing w:after="0"/>
              <w:rPr>
                <w:sz w:val="18"/>
                <w:szCs w:val="18"/>
                <w:color w:val="auto"/>
              </w:rPr>
            </w:pPr>
          </w:p>
        </w:tc>
        <w:tc>
          <w:tcPr>
            <w:tcW w:w="3100" w:type="dxa"/>
            <w:vAlign w:val="bottom"/>
            <w:gridSpan w:val="5"/>
          </w:tcPr>
          <w:p>
            <w:pPr>
              <w:jc w:val="right"/>
              <w:ind w:right="15"/>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Grant Date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Exercisable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Unexercisable </w:t>
            </w:r>
            <w:r>
              <w:rPr>
                <w:rFonts w:ascii="Arial" w:cs="Arial" w:eastAsia="Arial" w:hAnsi="Arial"/>
                <w:sz w:val="24"/>
                <w:szCs w:val="24"/>
                <w:b w:val="1"/>
                <w:bCs w:val="1"/>
                <w:color w:val="auto"/>
                <w:vertAlign w:val="subscript"/>
              </w:rPr>
              <w:t>​​</w:t>
            </w:r>
          </w:p>
        </w:tc>
        <w:tc>
          <w:tcPr>
            <w:tcW w:w="16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Price ​​</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w:t>
            </w:r>
          </w:p>
        </w:tc>
        <w:tc>
          <w:tcPr>
            <w:tcW w:w="800" w:type="dxa"/>
            <w:vAlign w:val="bottom"/>
            <w:gridSpan w:val="2"/>
          </w:tcPr>
          <w:p>
            <w:pPr>
              <w:ind w:left="180"/>
              <w:spacing w:after="0" w:line="212" w:lineRule="exact"/>
              <w:rPr>
                <w:sz w:val="20"/>
                <w:szCs w:val="20"/>
                <w:color w:val="auto"/>
              </w:rPr>
            </w:pPr>
            <w:r>
              <w:rPr>
                <w:rFonts w:ascii="Arial" w:cs="Arial" w:eastAsia="Arial" w:hAnsi="Arial"/>
                <w:sz w:val="13"/>
                <w:szCs w:val="13"/>
                <w:b w:val="1"/>
                <w:bCs w:val="1"/>
                <w:color w:val="auto"/>
              </w:rPr>
              <w:t xml:space="preserve">Vested </w:t>
            </w:r>
            <w:r>
              <w:rPr>
                <w:rFonts w:ascii="Arial" w:cs="Arial" w:eastAsia="Arial" w:hAnsi="Arial"/>
                <w:sz w:val="24"/>
                <w:szCs w:val="24"/>
                <w:b w:val="1"/>
                <w:bCs w:val="1"/>
                <w:color w:val="auto"/>
                <w:vertAlign w:val="subscript"/>
              </w:rPr>
              <w:t>​​</w:t>
            </w:r>
          </w:p>
        </w:tc>
        <w:tc>
          <w:tcPr>
            <w:tcW w:w="80" w:type="dxa"/>
            <w:vAlign w:val="bottom"/>
          </w:tcPr>
          <w:p>
            <w:pPr>
              <w:spacing w:after="0"/>
              <w:rPr>
                <w:sz w:val="18"/>
                <w:szCs w:val="18"/>
                <w:color w:val="auto"/>
              </w:rPr>
            </w:pPr>
          </w:p>
        </w:tc>
        <w:tc>
          <w:tcPr>
            <w:tcW w:w="2560" w:type="dxa"/>
            <w:vAlign w:val="bottom"/>
            <w:gridSpan w:val="6"/>
          </w:tcPr>
          <w:p>
            <w:pPr>
              <w:jc w:val="right"/>
              <w:spacing w:after="0" w:line="212" w:lineRule="exact"/>
              <w:rPr>
                <w:sz w:val="20"/>
                <w:szCs w:val="20"/>
                <w:color w:val="auto"/>
              </w:rPr>
            </w:pPr>
            <w:r>
              <w:rPr>
                <w:rFonts w:ascii="Arial" w:cs="Arial" w:eastAsia="Arial" w:hAnsi="Arial"/>
                <w:sz w:val="13"/>
                <w:szCs w:val="13"/>
                <w:b w:val="1"/>
                <w:bCs w:val="1"/>
                <w:color w:val="auto"/>
              </w:rPr>
              <w:t xml:space="preserve">Vested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Not Vested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Not Vested</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47"/>
        </w:trPr>
        <w:tc>
          <w:tcPr>
            <w:tcW w:w="1200" w:type="dxa"/>
            <w:vAlign w:val="bottom"/>
            <w:tcBorders>
              <w:top w:val="single" w:sz="8" w:color="auto"/>
            </w:tcBorders>
          </w:tcPr>
          <w:p>
            <w:pPr>
              <w:spacing w:after="0" w:line="47" w:lineRule="exact"/>
              <w:rPr>
                <w:sz w:val="20"/>
                <w:szCs w:val="20"/>
                <w:color w:val="auto"/>
              </w:rPr>
            </w:pPr>
            <w:r>
              <w:rPr>
                <w:rFonts w:ascii="Arial" w:cs="Arial" w:eastAsia="Arial" w:hAnsi="Arial"/>
                <w:sz w:val="5"/>
                <w:szCs w:val="5"/>
                <w:color w:val="auto"/>
              </w:rPr>
              <w:t>Mitchell Fadel</w:t>
            </w:r>
          </w:p>
        </w:tc>
        <w:tc>
          <w:tcPr>
            <w:tcW w:w="80" w:type="dxa"/>
            <w:vAlign w:val="bottom"/>
            <w:tcBorders>
              <w:top w:val="single" w:sz="8" w:color="auto"/>
              <w:right w:val="single" w:sz="8" w:color="E5E5E5"/>
            </w:tcBorders>
          </w:tcPr>
          <w:p>
            <w:pPr>
              <w:spacing w:after="0"/>
              <w:rPr>
                <w:sz w:val="4"/>
                <w:szCs w:val="4"/>
                <w:color w:val="auto"/>
              </w:rPr>
            </w:pPr>
          </w:p>
        </w:tc>
        <w:tc>
          <w:tcPr>
            <w:tcW w:w="920" w:type="dxa"/>
            <w:vAlign w:val="bottom"/>
            <w:tcBorders>
              <w:top w:val="single" w:sz="8" w:color="auto"/>
            </w:tcBorders>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​02/24/2023</w:t>
            </w:r>
            <w:r>
              <w:rPr>
                <w:rFonts w:ascii="Arial" w:cs="Arial" w:eastAsia="Arial" w:hAnsi="Arial"/>
                <w:sz w:val="5"/>
                <w:szCs w:val="5"/>
                <w:color w:val="auto"/>
                <w:vertAlign w:val="superscript"/>
              </w:rPr>
              <w:t>​​ ​</w:t>
            </w:r>
          </w:p>
        </w:tc>
        <w:tc>
          <w:tcPr>
            <w:tcW w:w="400" w:type="dxa"/>
            <w:vAlign w:val="bottom"/>
            <w:tcBorders>
              <w:top w:val="single" w:sz="8" w:color="auto"/>
            </w:tcBorders>
            <w:shd w:val="clear" w:color="auto" w:fill="E5E5E5"/>
          </w:tcPr>
          <w:p>
            <w:pPr>
              <w:ind w:left="30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tcBorders>
              <w:top w:val="single" w:sz="8" w:color="auto"/>
            </w:tcBorders>
            <w:shd w:val="clear" w:color="auto" w:fill="E5E5E5"/>
          </w:tcPr>
          <w:p>
            <w:pPr>
              <w:jc w:val="right"/>
              <w:ind w:right="42"/>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060" w:type="dxa"/>
            <w:vAlign w:val="bottom"/>
            <w:tcBorders>
              <w:top w:val="single" w:sz="8" w:color="auto"/>
            </w:tcBorders>
            <w:shd w:val="clear" w:color="auto" w:fill="E5E5E5"/>
          </w:tcPr>
          <w:p>
            <w:pPr>
              <w:ind w:left="72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60" w:type="dxa"/>
            <w:vAlign w:val="bottom"/>
            <w:tcBorders>
              <w:top w:val="single" w:sz="8" w:color="auto"/>
            </w:tcBorders>
            <w:shd w:val="clear" w:color="auto" w:fill="E5E5E5"/>
          </w:tcPr>
          <w:p>
            <w:pPr>
              <w:ind w:left="40"/>
              <w:spacing w:after="0" w:line="47" w:lineRule="exact"/>
              <w:rPr>
                <w:sz w:val="20"/>
                <w:szCs w:val="20"/>
                <w:color w:val="auto"/>
              </w:rPr>
            </w:pP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620" w:type="dxa"/>
            <w:vAlign w:val="bottom"/>
            <w:tcBorders>
              <w:top w:val="single" w:sz="8" w:color="auto"/>
            </w:tcBorders>
            <w:shd w:val="clear" w:color="auto" w:fill="E5E5E5"/>
          </w:tcPr>
          <w:p>
            <w:pPr>
              <w:ind w:left="24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720" w:type="dxa"/>
            <w:vAlign w:val="bottom"/>
            <w:tcBorders>
              <w:top w:val="single" w:sz="8" w:color="auto"/>
            </w:tcBorders>
            <w:gridSpan w:val="3"/>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240" w:type="dxa"/>
            <w:vAlign w:val="bottom"/>
            <w:tcBorders>
              <w:top w:val="single" w:sz="8" w:color="auto"/>
            </w:tcBorders>
            <w:shd w:val="clear" w:color="auto" w:fill="E5E5E5"/>
          </w:tcPr>
          <w:p>
            <w:pPr>
              <w:ind w:left="14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tcBorders>
              <w:top w:val="single" w:sz="8" w:color="auto"/>
            </w:tcBorders>
            <w:gridSpan w:val="2"/>
            <w:shd w:val="clear" w:color="auto" w:fill="E5E5E5"/>
          </w:tcPr>
          <w:p>
            <w:pPr>
              <w:ind w:left="28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740" w:type="dxa"/>
            <w:vAlign w:val="bottom"/>
            <w:tcBorders>
              <w:top w:val="single" w:sz="8" w:color="auto"/>
            </w:tcBorders>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940" w:type="dxa"/>
            <w:vAlign w:val="bottom"/>
            <w:tcBorders>
              <w:top w:val="single" w:sz="8" w:color="auto"/>
            </w:tcBorders>
            <w:gridSpan w:val="2"/>
            <w:shd w:val="clear" w:color="auto" w:fill="E5E5E5"/>
          </w:tcPr>
          <w:p>
            <w:pPr>
              <w:jc w:val="right"/>
              <w:ind w:right="28"/>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 79,461</w:t>
            </w:r>
            <w:r>
              <w:rPr>
                <w:rFonts w:ascii="Arial" w:cs="Arial" w:eastAsia="Arial" w:hAnsi="Arial"/>
                <w:sz w:val="5"/>
                <w:szCs w:val="5"/>
                <w:color w:val="auto"/>
                <w:vertAlign w:val="superscript"/>
              </w:rPr>
              <w:t>​​​</w:t>
            </w:r>
          </w:p>
        </w:tc>
        <w:tc>
          <w:tcPr>
            <w:tcW w:w="840" w:type="dxa"/>
            <w:vAlign w:val="bottom"/>
            <w:tcBorders>
              <w:top w:val="single" w:sz="8" w:color="auto"/>
            </w:tcBorders>
            <w:gridSpan w:val="2"/>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$ 1,395,326</w:t>
            </w:r>
          </w:p>
        </w:tc>
        <w:tc>
          <w:tcPr>
            <w:tcW w:w="40" w:type="dxa"/>
            <w:vAlign w:val="bottom"/>
          </w:tcPr>
          <w:p>
            <w:pPr>
              <w:jc w:val="right"/>
              <w:spacing w:after="0" w:line="47"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80" w:type="dxa"/>
            <w:vAlign w:val="bottom"/>
            <w:tcBorders>
              <w:right w:val="single" w:sz="8" w:color="E5E5E5"/>
            </w:tcBorders>
          </w:tcPr>
          <w:p>
            <w:pPr>
              <w:spacing w:after="0"/>
              <w:rPr>
                <w:sz w:val="13"/>
                <w:szCs w:val="13"/>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(5)</w:t>
            </w:r>
          </w:p>
        </w:tc>
        <w:tc>
          <w:tcPr>
            <w:tcW w:w="40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tcBorders>
              <w:top w:val="single" w:sz="8" w:color="E5E5E5"/>
            </w:tcBorders>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Borders>
              <w:top w:val="single" w:sz="8" w:color="E5E5E5"/>
            </w:tcBorders>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Borders>
              <w:top w:val="single" w:sz="8" w:color="E5E5E5"/>
            </w:tcBorders>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Borders>
              <w:top w:val="single" w:sz="8" w:color="E5E5E5"/>
            </w:tcBorders>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Borders>
              <w:top w:val="single" w:sz="8" w:color="E5E5E5"/>
            </w:tcBorders>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tcBorders>
              <w:top w:val="single" w:sz="8" w:color="E5E5E5"/>
            </w:tcBorders>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Borders>
              <w:top w:val="single" w:sz="8" w:color="E5E5E5"/>
            </w:tcBorders>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Borders>
              <w:top w:val="single" w:sz="8" w:color="E5E5E5"/>
            </w:tcBorders>
            <w:gridSpan w:val="2"/>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tcBorders>
              <w:top w:val="single" w:sz="8" w:color="E5E5E5"/>
            </w:tcBorders>
            <w:gridSpan w:val="2"/>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​134,246</w:t>
            </w:r>
            <w:r>
              <w:rPr>
                <w:rFonts w:ascii="Arial" w:cs="Arial" w:eastAsia="Arial" w:hAnsi="Arial"/>
                <w:sz w:val="3"/>
                <w:szCs w:val="3"/>
                <w:color w:val="auto"/>
                <w:vertAlign w:val="superscript"/>
              </w:rPr>
              <w:t>​​​</w:t>
            </w:r>
          </w:p>
        </w:tc>
        <w:tc>
          <w:tcPr>
            <w:tcW w:w="840" w:type="dxa"/>
            <w:vAlign w:val="bottom"/>
            <w:tcBorders>
              <w:top w:val="single" w:sz="8" w:color="E5E5E5"/>
            </w:tcBorders>
            <w:gridSpan w:val="2"/>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$ 2,357,360</w:t>
            </w:r>
          </w:p>
        </w:tc>
        <w:tc>
          <w:tcPr>
            <w:tcW w:w="4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(6)</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​02/24/2023</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880" w:type="dxa"/>
            <w:vAlign w:val="bottom"/>
            <w:gridSpan w:val="3"/>
            <w:shd w:val="clear" w:color="auto" w:fill="E5E5E5"/>
          </w:tcPr>
          <w:p>
            <w:pPr>
              <w:ind w:left="1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17,028</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2"/>
                <w:szCs w:val="2"/>
                <w:color w:val="auto"/>
              </w:rPr>
              <w:t>299,012</w:t>
            </w:r>
            <w:r>
              <w:rPr>
                <w:rFonts w:ascii="Arial" w:cs="Arial" w:eastAsia="Arial" w:hAnsi="Arial"/>
                <w:sz w:val="3"/>
                <w:szCs w:val="3"/>
                <w:color w:val="auto"/>
                <w:vertAlign w:val="superscript"/>
              </w:rPr>
              <w:t>​​​</w:t>
            </w:r>
          </w:p>
        </w:tc>
        <w:tc>
          <w:tcPr>
            <w:tcW w:w="260" w:type="dxa"/>
            <w:vAlign w:val="bottom"/>
            <w:shd w:val="clear" w:color="auto" w:fill="E5E5E5"/>
          </w:tcPr>
          <w:p>
            <w:pPr>
              <w:ind w:left="22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80" w:type="dxa"/>
            <w:vAlign w:val="bottom"/>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(2)</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880" w:type="dxa"/>
            <w:vAlign w:val="bottom"/>
            <w:gridSpan w:val="3"/>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880" w:type="dxa"/>
            <w:vAlign w:val="bottom"/>
            <w:gridSpan w:val="3"/>
          </w:tcPr>
          <w:p>
            <w:pPr>
              <w:ind w:left="1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29,833</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tcPr>
          <w:p>
            <w:pPr>
              <w:jc w:val="right"/>
              <w:spacing w:after="0" w:line="27" w:lineRule="exact"/>
              <w:rPr>
                <w:sz w:val="20"/>
                <w:szCs w:val="20"/>
                <w:color w:val="auto"/>
              </w:rPr>
            </w:pPr>
            <w:r>
              <w:rPr>
                <w:rFonts w:ascii="Arial" w:cs="Arial" w:eastAsia="Arial" w:hAnsi="Arial"/>
                <w:sz w:val="2"/>
                <w:szCs w:val="2"/>
                <w:color w:val="auto"/>
              </w:rPr>
              <w:t>523,867</w:t>
            </w:r>
            <w:r>
              <w:rPr>
                <w:rFonts w:ascii="Arial" w:cs="Arial" w:eastAsia="Arial" w:hAnsi="Arial"/>
                <w:sz w:val="3"/>
                <w:szCs w:val="3"/>
                <w:color w:val="auto"/>
                <w:vertAlign w:val="superscript"/>
              </w:rPr>
              <w:t>​​​</w:t>
            </w:r>
          </w:p>
        </w:tc>
        <w:tc>
          <w:tcPr>
            <w:tcW w:w="260" w:type="dxa"/>
            <w:vAlign w:val="bottom"/>
          </w:tcPr>
          <w:p>
            <w:pPr>
              <w:ind w:left="22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80" w:type="dxa"/>
            <w:vAlign w:val="bottom"/>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tcPr>
          <w:p>
            <w:pPr>
              <w:ind w:left="8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(3)</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2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80" w:type="dxa"/>
            <w:vAlign w:val="bottom"/>
            <w:tcBorders>
              <w:right w:val="single" w:sz="8" w:color="E5E5E5"/>
            </w:tcBorders>
          </w:tcPr>
          <w:p>
            <w:pPr>
              <w:spacing w:after="0"/>
              <w:rPr>
                <w:sz w:val="19"/>
                <w:szCs w:val="19"/>
                <w:color w:val="auto"/>
              </w:rPr>
            </w:pPr>
          </w:p>
        </w:tc>
        <w:tc>
          <w:tcPr>
            <w:tcW w:w="920" w:type="dxa"/>
            <w:vAlign w:val="bottom"/>
            <w:tcBorders>
              <w:bottom w:val="single" w:sz="8" w:color="E5E5E5"/>
            </w:tcBorders>
            <w:shd w:val="clear" w:color="auto" w:fill="E5E5E5"/>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​04/01/2019</w:t>
            </w:r>
            <w:r>
              <w:rPr>
                <w:rFonts w:ascii="Arial" w:cs="Arial" w:eastAsia="Arial" w:hAnsi="Arial"/>
                <w:sz w:val="25"/>
                <w:szCs w:val="25"/>
                <w:color w:val="auto"/>
                <w:vertAlign w:val="superscript"/>
              </w:rPr>
              <w:t>​​ ​</w:t>
            </w:r>
          </w:p>
        </w:tc>
        <w:tc>
          <w:tcPr>
            <w:tcW w:w="400" w:type="dxa"/>
            <w:vAlign w:val="bottom"/>
            <w:tcBorders>
              <w:bottom w:val="single" w:sz="8" w:color="E5E5E5"/>
            </w:tcBorders>
            <w:shd w:val="clear" w:color="auto" w:fill="E5E5E5"/>
          </w:tcPr>
          <w:p>
            <w:pPr>
              <w:ind w:left="300"/>
              <w:spacing w:after="0" w:line="22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640" w:type="dxa"/>
            <w:vAlign w:val="bottom"/>
            <w:tcBorders>
              <w:bottom w:val="single" w:sz="8" w:color="E5E5E5"/>
            </w:tcBorders>
            <w:shd w:val="clear" w:color="auto" w:fill="E5E5E5"/>
          </w:tcPr>
          <w:p>
            <w:pPr>
              <w:jc w:val="right"/>
              <w:ind w:right="42"/>
              <w:spacing w:after="0" w:line="220" w:lineRule="exact"/>
              <w:rPr>
                <w:sz w:val="20"/>
                <w:szCs w:val="20"/>
                <w:color w:val="auto"/>
              </w:rPr>
            </w:pPr>
            <w:r>
              <w:rPr>
                <w:rFonts w:ascii="Arial" w:cs="Arial" w:eastAsia="Arial" w:hAnsi="Arial"/>
                <w:sz w:val="13"/>
                <w:szCs w:val="13"/>
                <w:color w:val="auto"/>
              </w:rPr>
              <w:t>75,027</w:t>
            </w:r>
            <w:r>
              <w:rPr>
                <w:rFonts w:ascii="Arial" w:cs="Arial" w:eastAsia="Arial" w:hAnsi="Arial"/>
                <w:sz w:val="25"/>
                <w:szCs w:val="25"/>
                <w:color w:val="auto"/>
                <w:vertAlign w:val="superscript"/>
              </w:rPr>
              <w:t>​​​</w:t>
            </w:r>
          </w:p>
        </w:tc>
        <w:tc>
          <w:tcPr>
            <w:tcW w:w="2560" w:type="dxa"/>
            <w:vAlign w:val="bottom"/>
            <w:tcBorders>
              <w:bottom w:val="single" w:sz="8" w:color="E5E5E5"/>
            </w:tcBorders>
            <w:gridSpan w:val="6"/>
            <w:shd w:val="clear" w:color="auto" w:fill="E5E5E5"/>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r>
              <w:rPr>
                <w:rFonts w:ascii="Arial" w:cs="Arial" w:eastAsia="Arial" w:hAnsi="Arial"/>
                <w:sz w:val="25"/>
                <w:szCs w:val="25"/>
                <w:color w:val="auto"/>
                <w:vertAlign w:val="superscript"/>
              </w:rPr>
              <w:t>​​​ ​</w:t>
            </w:r>
            <w:r>
              <w:rPr>
                <w:rFonts w:ascii="Arial" w:cs="Arial" w:eastAsia="Arial" w:hAnsi="Arial"/>
                <w:sz w:val="13"/>
                <w:szCs w:val="13"/>
                <w:color w:val="auto"/>
              </w:rPr>
              <w:t>$ 20.87</w:t>
            </w:r>
            <w:r>
              <w:rPr>
                <w:rFonts w:ascii="Arial" w:cs="Arial" w:eastAsia="Arial" w:hAnsi="Arial"/>
                <w:sz w:val="25"/>
                <w:szCs w:val="25"/>
                <w:color w:val="auto"/>
                <w:vertAlign w:val="superscript"/>
              </w:rPr>
              <w:t>​​​​</w:t>
            </w:r>
            <w:r>
              <w:rPr>
                <w:rFonts w:ascii="Arial" w:cs="Arial" w:eastAsia="Arial" w:hAnsi="Arial"/>
                <w:sz w:val="13"/>
                <w:szCs w:val="13"/>
                <w:color w:val="auto"/>
              </w:rPr>
              <w:t>​04/01/2029</w:t>
            </w:r>
            <w:r>
              <w:rPr>
                <w:rFonts w:ascii="Arial" w:cs="Arial" w:eastAsia="Arial" w:hAnsi="Arial"/>
                <w:sz w:val="25"/>
                <w:szCs w:val="25"/>
                <w:color w:val="auto"/>
                <w:vertAlign w:val="superscript"/>
              </w:rPr>
              <w:t>​​​</w:t>
            </w:r>
          </w:p>
        </w:tc>
        <w:tc>
          <w:tcPr>
            <w:tcW w:w="240" w:type="dxa"/>
            <w:vAlign w:val="bottom"/>
            <w:tcBorders>
              <w:bottom w:val="single" w:sz="8" w:color="E5E5E5"/>
            </w:tcBorders>
            <w:shd w:val="clear" w:color="auto" w:fill="E5E5E5"/>
          </w:tcPr>
          <w:p>
            <w:pPr>
              <w:ind w:left="140"/>
              <w:spacing w:after="0" w:line="22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640" w:type="dxa"/>
            <w:vAlign w:val="bottom"/>
            <w:tcBorders>
              <w:bottom w:val="single" w:sz="8" w:color="E5E5E5"/>
            </w:tcBorders>
            <w:gridSpan w:val="2"/>
            <w:shd w:val="clear" w:color="auto" w:fill="E5E5E5"/>
          </w:tcPr>
          <w:p>
            <w:pPr>
              <w:ind w:left="280"/>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740" w:type="dxa"/>
            <w:vAlign w:val="bottom"/>
            <w:tcBorders>
              <w:bottom w:val="single" w:sz="8" w:color="E5E5E5"/>
            </w:tcBorders>
            <w:shd w:val="clear" w:color="auto" w:fill="E5E5E5"/>
          </w:tcPr>
          <w:p>
            <w:pPr>
              <w:jc w:val="right"/>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260" w:type="dxa"/>
            <w:vAlign w:val="bottom"/>
            <w:tcBorders>
              <w:bottom w:val="single" w:sz="8" w:color="E5E5E5"/>
            </w:tcBorders>
            <w:shd w:val="clear" w:color="auto" w:fill="E5E5E5"/>
          </w:tcPr>
          <w:p>
            <w:pPr>
              <w:ind w:left="220"/>
              <w:spacing w:after="0" w:line="22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680" w:type="dxa"/>
            <w:vAlign w:val="bottom"/>
            <w:tcBorders>
              <w:bottom w:val="single" w:sz="8" w:color="E5E5E5"/>
            </w:tcBorders>
            <w:shd w:val="clear" w:color="auto" w:fill="E5E5E5"/>
          </w:tcPr>
          <w:p>
            <w:pPr>
              <w:jc w:val="right"/>
              <w:ind w:right="28"/>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220" w:type="dxa"/>
            <w:vAlign w:val="bottom"/>
            <w:tcBorders>
              <w:bottom w:val="single" w:sz="8" w:color="E5E5E5"/>
            </w:tcBorders>
            <w:shd w:val="clear" w:color="auto" w:fill="E5E5E5"/>
          </w:tcPr>
          <w:p>
            <w:pPr>
              <w:ind w:left="80"/>
              <w:spacing w:after="0" w:line="22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6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​02/26/2020</w:t>
            </w:r>
            <w:r>
              <w:rPr>
                <w:rFonts w:ascii="Arial" w:cs="Arial" w:eastAsia="Arial" w:hAnsi="Arial"/>
                <w:sz w:val="28"/>
                <w:szCs w:val="28"/>
                <w:color w:val="auto"/>
                <w:vertAlign w:val="superscript"/>
              </w:rPr>
              <w:t>​​ ​</w:t>
            </w:r>
          </w:p>
        </w:tc>
        <w:tc>
          <w:tcPr>
            <w:tcW w:w="1040" w:type="dxa"/>
            <w:vAlign w:val="bottom"/>
            <w:tcBorders>
              <w:bottom w:val="single" w:sz="8" w:color="auto"/>
            </w:tcBorders>
            <w:gridSpan w:val="2"/>
          </w:tcPr>
          <w:p>
            <w:pPr>
              <w:jc w:val="right"/>
              <w:ind w:right="42"/>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​120,991</w:t>
            </w:r>
            <w:r>
              <w:rPr>
                <w:rFonts w:ascii="Arial" w:cs="Arial" w:eastAsia="Arial" w:hAnsi="Arial"/>
                <w:sz w:val="28"/>
                <w:szCs w:val="28"/>
                <w:color w:val="auto"/>
                <w:vertAlign w:val="superscript"/>
              </w:rPr>
              <w:t>​​​</w:t>
            </w:r>
          </w:p>
        </w:tc>
        <w:tc>
          <w:tcPr>
            <w:tcW w:w="2560" w:type="dxa"/>
            <w:vAlign w:val="bottom"/>
            <w:tcBorders>
              <w:bottom w:val="single" w:sz="8" w:color="auto"/>
            </w:tcBorders>
            <w:gridSpan w:val="6"/>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r>
              <w:rPr>
                <w:rFonts w:ascii="Arial" w:cs="Arial" w:eastAsia="Arial" w:hAnsi="Arial"/>
                <w:sz w:val="28"/>
                <w:szCs w:val="28"/>
                <w:color w:val="auto"/>
                <w:vertAlign w:val="superscript"/>
              </w:rPr>
              <w:t>​​​ ​</w:t>
            </w:r>
            <w:r>
              <w:rPr>
                <w:rFonts w:ascii="Arial" w:cs="Arial" w:eastAsia="Arial" w:hAnsi="Arial"/>
                <w:sz w:val="14"/>
                <w:szCs w:val="14"/>
                <w:color w:val="auto"/>
              </w:rPr>
              <w:t>$ 24.77</w:t>
            </w:r>
            <w:r>
              <w:rPr>
                <w:rFonts w:ascii="Arial" w:cs="Arial" w:eastAsia="Arial" w:hAnsi="Arial"/>
                <w:sz w:val="28"/>
                <w:szCs w:val="28"/>
                <w:color w:val="auto"/>
                <w:vertAlign w:val="superscript"/>
              </w:rPr>
              <w:t>​​​​</w:t>
            </w:r>
            <w:r>
              <w:rPr>
                <w:rFonts w:ascii="Arial" w:cs="Arial" w:eastAsia="Arial" w:hAnsi="Arial"/>
                <w:sz w:val="14"/>
                <w:szCs w:val="14"/>
                <w:color w:val="auto"/>
              </w:rPr>
              <w:t>​02/26/2030</w:t>
            </w:r>
            <w:r>
              <w:rPr>
                <w:rFonts w:ascii="Arial" w:cs="Arial" w:eastAsia="Arial" w:hAnsi="Arial"/>
                <w:sz w:val="28"/>
                <w:szCs w:val="28"/>
                <w:color w:val="auto"/>
                <w:vertAlign w:val="superscript"/>
              </w:rPr>
              <w:t>​​​</w:t>
            </w:r>
          </w:p>
        </w:tc>
        <w:tc>
          <w:tcPr>
            <w:tcW w:w="240" w:type="dxa"/>
            <w:vAlign w:val="bottom"/>
            <w:tcBorders>
              <w:bottom w:val="single" w:sz="8" w:color="auto"/>
            </w:tcBorders>
          </w:tcPr>
          <w:p>
            <w:pPr>
              <w:ind w:left="14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Borders>
              <w:bottom w:val="single" w:sz="8" w:color="auto"/>
            </w:tcBorders>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7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60" w:type="dxa"/>
            <w:vAlign w:val="bottom"/>
            <w:tcBorders>
              <w:bottom w:val="single" w:sz="8" w:color="auto"/>
            </w:tcBorders>
          </w:tcPr>
          <w:p>
            <w:pPr>
              <w:ind w:left="22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80" w:type="dxa"/>
            <w:vAlign w:val="bottom"/>
            <w:tcBorders>
              <w:bottom w:val="single" w:sz="8" w:color="auto"/>
            </w:tcBorders>
          </w:tcPr>
          <w:p>
            <w:pPr>
              <w:jc w:val="right"/>
              <w:ind w:right="2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
        </w:trPr>
        <w:tc>
          <w:tcPr>
            <w:tcW w:w="1200" w:type="dxa"/>
            <w:vAlign w:val="bottom"/>
          </w:tcPr>
          <w:p>
            <w:pPr>
              <w:spacing w:after="0" w:line="47" w:lineRule="exact"/>
              <w:rPr>
                <w:sz w:val="20"/>
                <w:szCs w:val="20"/>
                <w:color w:val="auto"/>
              </w:rPr>
            </w:pPr>
            <w:r>
              <w:rPr>
                <w:rFonts w:ascii="Arial" w:cs="Arial" w:eastAsia="Arial" w:hAnsi="Arial"/>
                <w:sz w:val="5"/>
                <w:szCs w:val="5"/>
                <w:color w:val="auto"/>
              </w:rPr>
              <w:t>Fahmi Karam</w:t>
            </w:r>
          </w:p>
        </w:tc>
        <w:tc>
          <w:tcPr>
            <w:tcW w:w="80" w:type="dxa"/>
            <w:vAlign w:val="bottom"/>
            <w:tcBorders>
              <w:right w:val="single" w:sz="8" w:color="E5E5E5"/>
            </w:tcBorders>
          </w:tcPr>
          <w:p>
            <w:pPr>
              <w:spacing w:after="0"/>
              <w:rPr>
                <w:sz w:val="4"/>
                <w:szCs w:val="4"/>
                <w:color w:val="auto"/>
              </w:rPr>
            </w:pPr>
          </w:p>
        </w:tc>
        <w:tc>
          <w:tcPr>
            <w:tcW w:w="920" w:type="dxa"/>
            <w:vAlign w:val="bottom"/>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​02/24/2023</w:t>
            </w:r>
            <w:r>
              <w:rPr>
                <w:rFonts w:ascii="Arial" w:cs="Arial" w:eastAsia="Arial" w:hAnsi="Arial"/>
                <w:sz w:val="5"/>
                <w:szCs w:val="5"/>
                <w:color w:val="auto"/>
                <w:vertAlign w:val="superscript"/>
              </w:rPr>
              <w:t>​​ ​</w:t>
            </w:r>
          </w:p>
        </w:tc>
        <w:tc>
          <w:tcPr>
            <w:tcW w:w="400" w:type="dxa"/>
            <w:vAlign w:val="bottom"/>
            <w:shd w:val="clear" w:color="auto" w:fill="E5E5E5"/>
          </w:tcPr>
          <w:p>
            <w:pPr>
              <w:ind w:left="30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shd w:val="clear" w:color="auto" w:fill="E5E5E5"/>
          </w:tcPr>
          <w:p>
            <w:pPr>
              <w:jc w:val="right"/>
              <w:ind w:right="42"/>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060" w:type="dxa"/>
            <w:vAlign w:val="bottom"/>
            <w:shd w:val="clear" w:color="auto" w:fill="E5E5E5"/>
          </w:tcPr>
          <w:p>
            <w:pPr>
              <w:ind w:left="72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60" w:type="dxa"/>
            <w:vAlign w:val="bottom"/>
            <w:shd w:val="clear" w:color="auto" w:fill="E5E5E5"/>
          </w:tcPr>
          <w:p>
            <w:pPr>
              <w:ind w:left="40"/>
              <w:spacing w:after="0" w:line="47" w:lineRule="exact"/>
              <w:rPr>
                <w:sz w:val="20"/>
                <w:szCs w:val="20"/>
                <w:color w:val="auto"/>
              </w:rPr>
            </w:pP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620" w:type="dxa"/>
            <w:vAlign w:val="bottom"/>
            <w:shd w:val="clear" w:color="auto" w:fill="E5E5E5"/>
          </w:tcPr>
          <w:p>
            <w:pPr>
              <w:ind w:left="24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720" w:type="dxa"/>
            <w:vAlign w:val="bottom"/>
            <w:gridSpan w:val="3"/>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240" w:type="dxa"/>
            <w:vAlign w:val="bottom"/>
            <w:shd w:val="clear" w:color="auto" w:fill="E5E5E5"/>
          </w:tcPr>
          <w:p>
            <w:pPr>
              <w:ind w:left="14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gridSpan w:val="2"/>
            <w:shd w:val="clear" w:color="auto" w:fill="E5E5E5"/>
          </w:tcPr>
          <w:p>
            <w:pPr>
              <w:ind w:left="28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740" w:type="dxa"/>
            <w:vAlign w:val="bottom"/>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940" w:type="dxa"/>
            <w:vAlign w:val="bottom"/>
            <w:gridSpan w:val="2"/>
            <w:shd w:val="clear" w:color="auto" w:fill="E5E5E5"/>
          </w:tcPr>
          <w:p>
            <w:pPr>
              <w:jc w:val="right"/>
              <w:ind w:right="28"/>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 43,517</w:t>
            </w:r>
            <w:r>
              <w:rPr>
                <w:rFonts w:ascii="Arial" w:cs="Arial" w:eastAsia="Arial" w:hAnsi="Arial"/>
                <w:sz w:val="5"/>
                <w:szCs w:val="5"/>
                <w:color w:val="auto"/>
                <w:vertAlign w:val="superscript"/>
              </w:rPr>
              <w:t>​​​</w:t>
            </w:r>
          </w:p>
        </w:tc>
        <w:tc>
          <w:tcPr>
            <w:tcW w:w="220" w:type="dxa"/>
            <w:vAlign w:val="bottom"/>
            <w:shd w:val="clear" w:color="auto" w:fill="E5E5E5"/>
          </w:tcPr>
          <w:p>
            <w:pPr>
              <w:ind w:left="8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20" w:type="dxa"/>
            <w:vAlign w:val="bottom"/>
            <w:shd w:val="clear" w:color="auto" w:fill="E5E5E5"/>
          </w:tcPr>
          <w:p>
            <w:pPr>
              <w:jc w:val="right"/>
              <w:spacing w:after="0" w:line="47" w:lineRule="exact"/>
              <w:rPr>
                <w:sz w:val="20"/>
                <w:szCs w:val="20"/>
                <w:color w:val="auto"/>
              </w:rPr>
            </w:pPr>
            <w:r>
              <w:rPr>
                <w:rFonts w:ascii="Arial" w:cs="Arial" w:eastAsia="Arial" w:hAnsi="Arial"/>
                <w:sz w:val="5"/>
                <w:szCs w:val="5"/>
                <w:color w:val="auto"/>
              </w:rPr>
              <w:t>764,150</w:t>
            </w:r>
          </w:p>
        </w:tc>
        <w:tc>
          <w:tcPr>
            <w:tcW w:w="40" w:type="dxa"/>
            <w:vAlign w:val="bottom"/>
          </w:tcPr>
          <w:p>
            <w:pPr>
              <w:jc w:val="right"/>
              <w:spacing w:after="0" w:line="47"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80" w:type="dxa"/>
            <w:vAlign w:val="bottom"/>
            <w:tcBorders>
              <w:right w:val="single" w:sz="8" w:color="E5E5E5"/>
            </w:tcBorders>
          </w:tcPr>
          <w:p>
            <w:pPr>
              <w:spacing w:after="0"/>
              <w:rPr>
                <w:sz w:val="13"/>
                <w:szCs w:val="13"/>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(5)</w:t>
            </w:r>
          </w:p>
        </w:tc>
        <w:tc>
          <w:tcPr>
            <w:tcW w:w="40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tcBorders>
              <w:top w:val="single" w:sz="8" w:color="E5E5E5"/>
            </w:tcBorders>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Borders>
              <w:top w:val="single" w:sz="8" w:color="E5E5E5"/>
            </w:tcBorders>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Borders>
              <w:top w:val="single" w:sz="8" w:color="E5E5E5"/>
            </w:tcBorders>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Borders>
              <w:top w:val="single" w:sz="8" w:color="E5E5E5"/>
            </w:tcBorders>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Borders>
              <w:top w:val="single" w:sz="8" w:color="E5E5E5"/>
            </w:tcBorders>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tcBorders>
              <w:top w:val="single" w:sz="8" w:color="E5E5E5"/>
            </w:tcBorders>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Borders>
              <w:top w:val="single" w:sz="8" w:color="E5E5E5"/>
            </w:tcBorders>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Borders>
              <w:top w:val="single" w:sz="8" w:color="E5E5E5"/>
            </w:tcBorders>
            <w:gridSpan w:val="2"/>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tcBorders>
              <w:top w:val="single" w:sz="8" w:color="E5E5E5"/>
            </w:tcBorders>
            <w:gridSpan w:val="2"/>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27,692</w:t>
            </w:r>
            <w:r>
              <w:rPr>
                <w:rFonts w:ascii="Arial" w:cs="Arial" w:eastAsia="Arial" w:hAnsi="Arial"/>
                <w:sz w:val="3"/>
                <w:szCs w:val="3"/>
                <w:color w:val="auto"/>
                <w:vertAlign w:val="superscript"/>
              </w:rPr>
              <w:t>​​​</w:t>
            </w:r>
          </w:p>
        </w:tc>
        <w:tc>
          <w:tcPr>
            <w:tcW w:w="220" w:type="dxa"/>
            <w:vAlign w:val="bottom"/>
            <w:tcBorders>
              <w:top w:val="single" w:sz="8" w:color="E5E5E5"/>
            </w:tcBorders>
          </w:tcPr>
          <w:p>
            <w:pPr>
              <w:ind w:left="8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2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rPr>
              <w:t>486,272</w:t>
            </w:r>
          </w:p>
        </w:tc>
        <w:tc>
          <w:tcPr>
            <w:tcW w:w="4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(6)</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840" w:type="dxa"/>
            <w:vAlign w:val="bottom"/>
            <w:gridSpan w:val="2"/>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gridSpan w:val="2"/>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​139,777</w:t>
            </w:r>
            <w:r>
              <w:rPr>
                <w:rFonts w:ascii="Arial" w:cs="Arial" w:eastAsia="Arial" w:hAnsi="Arial"/>
                <w:sz w:val="3"/>
                <w:szCs w:val="3"/>
                <w:color w:val="auto"/>
                <w:vertAlign w:val="superscript"/>
              </w:rPr>
              <w:t>​​​</w:t>
            </w:r>
          </w:p>
        </w:tc>
        <w:tc>
          <w:tcPr>
            <w:tcW w:w="840" w:type="dxa"/>
            <w:vAlign w:val="bottom"/>
            <w:gridSpan w:val="2"/>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$ 2,454,484</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(7)</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​02/24/2023</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Pr>
          <w:p>
            <w:pPr>
              <w:ind w:left="1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gridSpan w:val="2"/>
          </w:tcPr>
          <w:p>
            <w:pPr>
              <w:ind w:left="60"/>
              <w:spacing w:after="0" w:line="27" w:lineRule="exact"/>
              <w:rPr>
                <w:sz w:val="20"/>
                <w:szCs w:val="20"/>
                <w:color w:val="auto"/>
              </w:rPr>
            </w:pPr>
            <w:r>
              <w:rPr>
                <w:rFonts w:ascii="Arial" w:cs="Arial" w:eastAsia="Arial" w:hAnsi="Arial"/>
                <w:sz w:val="2"/>
                <w:szCs w:val="2"/>
                <w:color w:val="auto"/>
              </w:rPr>
              <w:t>9,325</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tcPr>
          <w:p>
            <w:pPr>
              <w:jc w:val="right"/>
              <w:spacing w:after="0" w:line="27" w:lineRule="exact"/>
              <w:rPr>
                <w:sz w:val="20"/>
                <w:szCs w:val="20"/>
                <w:color w:val="auto"/>
              </w:rPr>
            </w:pPr>
            <w:r>
              <w:rPr>
                <w:rFonts w:ascii="Arial" w:cs="Arial" w:eastAsia="Arial" w:hAnsi="Arial"/>
                <w:sz w:val="2"/>
                <w:szCs w:val="2"/>
                <w:color w:val="auto"/>
              </w:rPr>
              <w:t>163,747</w:t>
            </w:r>
            <w:r>
              <w:rPr>
                <w:rFonts w:ascii="Arial" w:cs="Arial" w:eastAsia="Arial" w:hAnsi="Arial"/>
                <w:sz w:val="3"/>
                <w:szCs w:val="3"/>
                <w:color w:val="auto"/>
                <w:vertAlign w:val="superscript"/>
              </w:rPr>
              <w:t>​​​</w:t>
            </w:r>
          </w:p>
        </w:tc>
        <w:tc>
          <w:tcPr>
            <w:tcW w:w="260" w:type="dxa"/>
            <w:vAlign w:val="bottom"/>
          </w:tcPr>
          <w:p>
            <w:pPr>
              <w:ind w:left="22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80" w:type="dxa"/>
            <w:vAlign w:val="bottom"/>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tcPr>
          <w:p>
            <w:pPr>
              <w:ind w:left="8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(2)</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60"/>
              <w:spacing w:after="0" w:line="27" w:lineRule="exact"/>
              <w:rPr>
                <w:sz w:val="20"/>
                <w:szCs w:val="20"/>
                <w:color w:val="auto"/>
              </w:rPr>
            </w:pPr>
            <w:r>
              <w:rPr>
                <w:rFonts w:ascii="Arial" w:cs="Arial" w:eastAsia="Arial" w:hAnsi="Arial"/>
                <w:sz w:val="2"/>
                <w:szCs w:val="2"/>
                <w:color w:val="auto"/>
              </w:rPr>
              <w:t>6,154</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2"/>
                <w:szCs w:val="2"/>
                <w:color w:val="auto"/>
              </w:rPr>
              <w:t>108,064</w:t>
            </w:r>
            <w:r>
              <w:rPr>
                <w:rFonts w:ascii="Arial" w:cs="Arial" w:eastAsia="Arial" w:hAnsi="Arial"/>
                <w:sz w:val="3"/>
                <w:szCs w:val="3"/>
                <w:color w:val="auto"/>
                <w:vertAlign w:val="superscript"/>
              </w:rPr>
              <w:t>​​​</w:t>
            </w:r>
          </w:p>
        </w:tc>
        <w:tc>
          <w:tcPr>
            <w:tcW w:w="260" w:type="dxa"/>
            <w:vAlign w:val="bottom"/>
            <w:shd w:val="clear" w:color="auto" w:fill="E5E5E5"/>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(3)</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880" w:type="dxa"/>
            <w:vAlign w:val="bottom"/>
            <w:gridSpan w:val="3"/>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880" w:type="dxa"/>
            <w:vAlign w:val="bottom"/>
            <w:gridSpan w:val="3"/>
          </w:tcPr>
          <w:p>
            <w:pPr>
              <w:ind w:left="1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46,592</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tcPr>
          <w:p>
            <w:pPr>
              <w:jc w:val="right"/>
              <w:spacing w:after="0" w:line="27" w:lineRule="exact"/>
              <w:rPr>
                <w:sz w:val="20"/>
                <w:szCs w:val="20"/>
                <w:color w:val="auto"/>
              </w:rPr>
            </w:pPr>
            <w:r>
              <w:rPr>
                <w:rFonts w:ascii="Arial" w:cs="Arial" w:eastAsia="Arial" w:hAnsi="Arial"/>
                <w:sz w:val="2"/>
                <w:szCs w:val="2"/>
                <w:color w:val="auto"/>
              </w:rPr>
              <w:t>818,156</w:t>
            </w:r>
            <w:r>
              <w:rPr>
                <w:rFonts w:ascii="Arial" w:cs="Arial" w:eastAsia="Arial" w:hAnsi="Arial"/>
                <w:sz w:val="3"/>
                <w:szCs w:val="3"/>
                <w:color w:val="auto"/>
                <w:vertAlign w:val="superscript"/>
              </w:rPr>
              <w:t>​​​</w:t>
            </w:r>
          </w:p>
        </w:tc>
        <w:tc>
          <w:tcPr>
            <w:tcW w:w="260" w:type="dxa"/>
            <w:vAlign w:val="bottom"/>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(4)</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4"/>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Hal Khouri</w:t>
            </w:r>
          </w:p>
        </w:tc>
        <w:tc>
          <w:tcPr>
            <w:tcW w:w="80" w:type="dxa"/>
            <w:vAlign w:val="bottom"/>
            <w:tcBorders>
              <w:bottom w:val="single" w:sz="8" w:color="auto"/>
              <w:right w:val="single" w:sz="8" w:color="E5E5E5"/>
            </w:tcBorders>
          </w:tcPr>
          <w:p>
            <w:pPr>
              <w:spacing w:after="0"/>
              <w:rPr>
                <w:sz w:val="24"/>
                <w:szCs w:val="24"/>
                <w:color w:val="auto"/>
              </w:rPr>
            </w:pPr>
          </w:p>
        </w:tc>
        <w:tc>
          <w:tcPr>
            <w:tcW w:w="920" w:type="dxa"/>
            <w:vAlign w:val="bottom"/>
            <w:tcBorders>
              <w:bottom w:val="single" w:sz="8" w:color="auto"/>
            </w:tcBorders>
            <w:shd w:val="clear" w:color="auto" w:fill="E5E5E5"/>
          </w:tcPr>
          <w:p>
            <w:pPr>
              <w:jc w:val="right"/>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​12/01/2025</w:t>
            </w:r>
            <w:r>
              <w:rPr>
                <w:rFonts w:ascii="Arial" w:cs="Arial" w:eastAsia="Arial" w:hAnsi="Arial"/>
                <w:sz w:val="28"/>
                <w:szCs w:val="28"/>
                <w:color w:val="auto"/>
                <w:vertAlign w:val="superscript"/>
              </w:rPr>
              <w:t>​​ ​</w:t>
            </w:r>
          </w:p>
        </w:tc>
        <w:tc>
          <w:tcPr>
            <w:tcW w:w="400" w:type="dxa"/>
            <w:vAlign w:val="bottom"/>
            <w:tcBorders>
              <w:bottom w:val="single" w:sz="8" w:color="auto"/>
            </w:tcBorders>
            <w:shd w:val="clear" w:color="auto" w:fill="E5E5E5"/>
          </w:tcPr>
          <w:p>
            <w:pPr>
              <w:ind w:left="300"/>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40" w:type="dxa"/>
            <w:vAlign w:val="bottom"/>
            <w:tcBorders>
              <w:bottom w:val="single" w:sz="8" w:color="auto"/>
            </w:tcBorders>
            <w:shd w:val="clear" w:color="auto" w:fill="E5E5E5"/>
          </w:tcPr>
          <w:p>
            <w:pPr>
              <w:jc w:val="right"/>
              <w:ind w:right="42"/>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60" w:type="dxa"/>
            <w:vAlign w:val="bottom"/>
            <w:tcBorders>
              <w:bottom w:val="single" w:sz="8" w:color="auto"/>
            </w:tcBorders>
            <w:shd w:val="clear" w:color="auto" w:fill="E5E5E5"/>
          </w:tcPr>
          <w:p>
            <w:pPr>
              <w:ind w:left="720"/>
              <w:spacing w:after="0" w:line="304"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shd w:val="clear" w:color="auto" w:fill="E5E5E5"/>
          </w:tcPr>
          <w:p>
            <w:pPr>
              <w:ind w:left="40"/>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20" w:type="dxa"/>
            <w:vAlign w:val="bottom"/>
            <w:tcBorders>
              <w:bottom w:val="single" w:sz="8" w:color="auto"/>
            </w:tcBorders>
            <w:shd w:val="clear" w:color="auto" w:fill="E5E5E5"/>
          </w:tcPr>
          <w:p>
            <w:pPr>
              <w:ind w:left="24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20" w:type="dxa"/>
            <w:vAlign w:val="bottom"/>
            <w:tcBorders>
              <w:bottom w:val="single" w:sz="8" w:color="auto"/>
            </w:tcBorders>
            <w:gridSpan w:val="3"/>
            <w:shd w:val="clear" w:color="auto" w:fill="E5E5E5"/>
          </w:tcPr>
          <w:p>
            <w:pPr>
              <w:jc w:val="right"/>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20" w:type="dxa"/>
            <w:vAlign w:val="bottom"/>
            <w:tcBorders>
              <w:bottom w:val="single" w:sz="8" w:color="auto"/>
            </w:tcBorders>
            <w:gridSpan w:val="4"/>
            <w:shd w:val="clear" w:color="auto" w:fill="E5E5E5"/>
          </w:tcPr>
          <w:p>
            <w:pPr>
              <w:jc w:val="right"/>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83,705</w:t>
            </w:r>
            <w:r>
              <w:rPr>
                <w:rFonts w:ascii="Arial" w:cs="Arial" w:eastAsia="Arial" w:hAnsi="Arial"/>
                <w:sz w:val="28"/>
                <w:szCs w:val="28"/>
                <w:color w:val="auto"/>
                <w:vertAlign w:val="superscript"/>
              </w:rPr>
              <w:t>​​​​</w:t>
            </w:r>
            <w:r>
              <w:rPr>
                <w:rFonts w:ascii="Arial" w:cs="Arial" w:eastAsia="Arial" w:hAnsi="Arial"/>
                <w:sz w:val="14"/>
                <w:szCs w:val="14"/>
                <w:color w:val="auto"/>
              </w:rPr>
              <w:t>$1,469,860</w:t>
            </w:r>
            <w:r>
              <w:rPr>
                <w:rFonts w:ascii="Arial" w:cs="Arial" w:eastAsia="Arial" w:hAnsi="Arial"/>
                <w:sz w:val="28"/>
                <w:szCs w:val="28"/>
                <w:color w:val="auto"/>
                <w:vertAlign w:val="superscript"/>
              </w:rPr>
              <w:t>​​​</w:t>
            </w:r>
          </w:p>
        </w:tc>
        <w:tc>
          <w:tcPr>
            <w:tcW w:w="260" w:type="dxa"/>
            <w:vAlign w:val="bottom"/>
            <w:tcBorders>
              <w:bottom w:val="single" w:sz="8" w:color="auto"/>
            </w:tcBorders>
            <w:shd w:val="clear" w:color="auto" w:fill="E5E5E5"/>
          </w:tcPr>
          <w:p>
            <w:pPr>
              <w:ind w:left="220"/>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ind w:right="28"/>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ind w:left="80"/>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line="47" w:lineRule="exact"/>
              <w:rPr>
                <w:sz w:val="20"/>
                <w:szCs w:val="20"/>
                <w:color w:val="auto"/>
              </w:rPr>
            </w:pPr>
            <w:r>
              <w:rPr>
                <w:rFonts w:ascii="Arial" w:cs="Arial" w:eastAsia="Arial" w:hAnsi="Arial"/>
                <w:sz w:val="5"/>
                <w:szCs w:val="5"/>
                <w:color w:val="auto"/>
              </w:rPr>
              <w:t>Tyler Montrone</w:t>
            </w:r>
          </w:p>
        </w:tc>
        <w:tc>
          <w:tcPr>
            <w:tcW w:w="80" w:type="dxa"/>
            <w:vAlign w:val="bottom"/>
          </w:tcPr>
          <w:p>
            <w:pPr>
              <w:spacing w:after="0"/>
              <w:rPr>
                <w:sz w:val="4"/>
                <w:szCs w:val="4"/>
                <w:color w:val="auto"/>
              </w:rPr>
            </w:pPr>
          </w:p>
        </w:tc>
        <w:tc>
          <w:tcPr>
            <w:tcW w:w="920" w:type="dxa"/>
            <w:vAlign w:val="bottom"/>
          </w:tcPr>
          <w:p>
            <w:pPr>
              <w:jc w:val="right"/>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​02/24/2023</w:t>
            </w:r>
            <w:r>
              <w:rPr>
                <w:rFonts w:ascii="Arial" w:cs="Arial" w:eastAsia="Arial" w:hAnsi="Arial"/>
                <w:sz w:val="5"/>
                <w:szCs w:val="5"/>
                <w:color w:val="auto"/>
                <w:vertAlign w:val="superscript"/>
              </w:rPr>
              <w:t>​​ ​</w:t>
            </w:r>
          </w:p>
        </w:tc>
        <w:tc>
          <w:tcPr>
            <w:tcW w:w="400" w:type="dxa"/>
            <w:vAlign w:val="bottom"/>
          </w:tcPr>
          <w:p>
            <w:pPr>
              <w:ind w:left="30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tcPr>
          <w:p>
            <w:pPr>
              <w:jc w:val="right"/>
              <w:ind w:right="42"/>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060" w:type="dxa"/>
            <w:vAlign w:val="bottom"/>
          </w:tcPr>
          <w:p>
            <w:pPr>
              <w:ind w:left="72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60" w:type="dxa"/>
            <w:vAlign w:val="bottom"/>
          </w:tcPr>
          <w:p>
            <w:pPr>
              <w:ind w:left="40"/>
              <w:spacing w:after="0" w:line="47" w:lineRule="exact"/>
              <w:rPr>
                <w:sz w:val="20"/>
                <w:szCs w:val="20"/>
                <w:color w:val="auto"/>
              </w:rPr>
            </w:pP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620" w:type="dxa"/>
            <w:vAlign w:val="bottom"/>
          </w:tcPr>
          <w:p>
            <w:pPr>
              <w:ind w:left="24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720" w:type="dxa"/>
            <w:vAlign w:val="bottom"/>
            <w:gridSpan w:val="3"/>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240" w:type="dxa"/>
            <w:vAlign w:val="bottom"/>
          </w:tcPr>
          <w:p>
            <w:pPr>
              <w:ind w:left="14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gridSpan w:val="2"/>
          </w:tcPr>
          <w:p>
            <w:pPr>
              <w:ind w:left="28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740" w:type="dxa"/>
            <w:vAlign w:val="bottom"/>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940" w:type="dxa"/>
            <w:vAlign w:val="bottom"/>
            <w:gridSpan w:val="2"/>
          </w:tcPr>
          <w:p>
            <w:pPr>
              <w:jc w:val="right"/>
              <w:ind w:right="28"/>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 10,967</w:t>
            </w:r>
            <w:r>
              <w:rPr>
                <w:rFonts w:ascii="Arial" w:cs="Arial" w:eastAsia="Arial" w:hAnsi="Arial"/>
                <w:sz w:val="5"/>
                <w:szCs w:val="5"/>
                <w:color w:val="auto"/>
                <w:vertAlign w:val="superscript"/>
              </w:rPr>
              <w:t>​​​</w:t>
            </w:r>
          </w:p>
        </w:tc>
        <w:tc>
          <w:tcPr>
            <w:tcW w:w="220" w:type="dxa"/>
            <w:vAlign w:val="bottom"/>
          </w:tcPr>
          <w:p>
            <w:pPr>
              <w:ind w:left="8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20" w:type="dxa"/>
            <w:vAlign w:val="bottom"/>
          </w:tcPr>
          <w:p>
            <w:pPr>
              <w:jc w:val="right"/>
              <w:spacing w:after="0" w:line="47" w:lineRule="exact"/>
              <w:rPr>
                <w:sz w:val="20"/>
                <w:szCs w:val="20"/>
                <w:color w:val="auto"/>
              </w:rPr>
            </w:pPr>
            <w:r>
              <w:rPr>
                <w:rFonts w:ascii="Arial" w:cs="Arial" w:eastAsia="Arial" w:hAnsi="Arial"/>
                <w:sz w:val="5"/>
                <w:szCs w:val="5"/>
                <w:color w:val="auto"/>
              </w:rPr>
              <w:t>192,572</w:t>
            </w:r>
          </w:p>
        </w:tc>
        <w:tc>
          <w:tcPr>
            <w:tcW w:w="40" w:type="dxa"/>
            <w:vAlign w:val="bottom"/>
          </w:tcPr>
          <w:p>
            <w:pPr>
              <w:jc w:val="right"/>
              <w:spacing w:after="0" w:line="47"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(5)</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vMerge w:val="restart"/>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gridSpan w:val="2"/>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17,918</w:t>
            </w:r>
            <w:r>
              <w:rPr>
                <w:rFonts w:ascii="Arial" w:cs="Arial" w:eastAsia="Arial" w:hAnsi="Arial"/>
                <w:sz w:val="3"/>
                <w:szCs w:val="3"/>
                <w:color w:val="auto"/>
                <w:vertAlign w:val="superscript"/>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314,640</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(6)</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940" w:type="dxa"/>
            <w:vAlign w:val="bottom"/>
            <w:gridSpan w:val="2"/>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gridSpan w:val="2"/>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23,498</w:t>
            </w:r>
            <w:r>
              <w:rPr>
                <w:rFonts w:ascii="Arial" w:cs="Arial" w:eastAsia="Arial" w:hAnsi="Arial"/>
                <w:sz w:val="3"/>
                <w:szCs w:val="3"/>
                <w:color w:val="auto"/>
                <w:vertAlign w:val="superscript"/>
              </w:rPr>
              <w:t>​​​</w:t>
            </w:r>
          </w:p>
        </w:tc>
        <w:tc>
          <w:tcPr>
            <w:tcW w:w="220" w:type="dxa"/>
            <w:vAlign w:val="bottom"/>
          </w:tcPr>
          <w:p>
            <w:pPr>
              <w:ind w:left="8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412,625</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(7)</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​02/24/2023</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60"/>
              <w:spacing w:after="0" w:line="27" w:lineRule="exact"/>
              <w:rPr>
                <w:sz w:val="20"/>
                <w:szCs w:val="20"/>
                <w:color w:val="auto"/>
              </w:rPr>
            </w:pPr>
            <w:r>
              <w:rPr>
                <w:rFonts w:ascii="Arial" w:cs="Arial" w:eastAsia="Arial" w:hAnsi="Arial"/>
                <w:sz w:val="2"/>
                <w:szCs w:val="2"/>
                <w:color w:val="auto"/>
              </w:rPr>
              <w:t>2,350</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2"/>
                <w:szCs w:val="2"/>
                <w:color w:val="auto"/>
              </w:rPr>
              <w:t>41,266</w:t>
            </w:r>
            <w:r>
              <w:rPr>
                <w:rFonts w:ascii="Arial" w:cs="Arial" w:eastAsia="Arial" w:hAnsi="Arial"/>
                <w:sz w:val="3"/>
                <w:szCs w:val="3"/>
                <w:color w:val="auto"/>
                <w:vertAlign w:val="superscript"/>
              </w:rPr>
              <w:t>​​​</w:t>
            </w:r>
          </w:p>
        </w:tc>
        <w:tc>
          <w:tcPr>
            <w:tcW w:w="260" w:type="dxa"/>
            <w:vAlign w:val="bottom"/>
            <w:shd w:val="clear" w:color="auto" w:fill="E5E5E5"/>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(2)</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tcPr>
          <w:p>
            <w:pPr>
              <w:ind w:left="60"/>
              <w:spacing w:after="0" w:line="27" w:lineRule="exact"/>
              <w:rPr>
                <w:sz w:val="20"/>
                <w:szCs w:val="20"/>
                <w:color w:val="auto"/>
              </w:rPr>
            </w:pPr>
            <w:r>
              <w:rPr>
                <w:rFonts w:ascii="Arial" w:cs="Arial" w:eastAsia="Arial" w:hAnsi="Arial"/>
                <w:sz w:val="2"/>
                <w:szCs w:val="2"/>
                <w:color w:val="auto"/>
              </w:rPr>
              <w:t>3,982</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tcPr>
          <w:p>
            <w:pPr>
              <w:jc w:val="right"/>
              <w:spacing w:after="0" w:line="27" w:lineRule="exact"/>
              <w:rPr>
                <w:sz w:val="20"/>
                <w:szCs w:val="20"/>
                <w:color w:val="auto"/>
              </w:rPr>
            </w:pPr>
            <w:r>
              <w:rPr>
                <w:rFonts w:ascii="Arial" w:cs="Arial" w:eastAsia="Arial" w:hAnsi="Arial"/>
                <w:sz w:val="2"/>
                <w:szCs w:val="2"/>
                <w:color w:val="auto"/>
              </w:rPr>
              <w:t>69,924</w:t>
            </w:r>
            <w:r>
              <w:rPr>
                <w:rFonts w:ascii="Arial" w:cs="Arial" w:eastAsia="Arial" w:hAnsi="Arial"/>
                <w:sz w:val="3"/>
                <w:szCs w:val="3"/>
                <w:color w:val="auto"/>
                <w:vertAlign w:val="superscript"/>
              </w:rPr>
              <w:t>​​​</w:t>
            </w:r>
          </w:p>
        </w:tc>
        <w:tc>
          <w:tcPr>
            <w:tcW w:w="260" w:type="dxa"/>
            <w:vAlign w:val="bottom"/>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(3)</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60"/>
              <w:spacing w:after="0" w:line="27" w:lineRule="exact"/>
              <w:rPr>
                <w:sz w:val="20"/>
                <w:szCs w:val="20"/>
                <w:color w:val="auto"/>
              </w:rPr>
            </w:pPr>
            <w:r>
              <w:rPr>
                <w:rFonts w:ascii="Arial" w:cs="Arial" w:eastAsia="Arial" w:hAnsi="Arial"/>
                <w:sz w:val="2"/>
                <w:szCs w:val="2"/>
                <w:color w:val="auto"/>
              </w:rPr>
              <w:t>7,832</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2"/>
                <w:szCs w:val="2"/>
                <w:color w:val="auto"/>
              </w:rPr>
              <w:t>137,530</w:t>
            </w:r>
            <w:r>
              <w:rPr>
                <w:rFonts w:ascii="Arial" w:cs="Arial" w:eastAsia="Arial" w:hAnsi="Arial"/>
                <w:sz w:val="3"/>
                <w:szCs w:val="3"/>
                <w:color w:val="auto"/>
                <w:vertAlign w:val="superscript"/>
              </w:rPr>
              <w:t>​​​</w:t>
            </w:r>
          </w:p>
        </w:tc>
        <w:tc>
          <w:tcPr>
            <w:tcW w:w="260" w:type="dxa"/>
            <w:vAlign w:val="bottom"/>
            <w:shd w:val="clear" w:color="auto" w:fill="E5E5E5"/>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(4)</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E5E5E5"/>
            </w:tcBorders>
          </w:tcPr>
          <w:p>
            <w:pPr>
              <w:spacing w:after="0"/>
              <w:rPr>
                <w:sz w:val="8"/>
                <w:szCs w:val="8"/>
                <w:color w:val="auto"/>
              </w:rPr>
            </w:pPr>
          </w:p>
        </w:tc>
        <w:tc>
          <w:tcPr>
            <w:tcW w:w="920" w:type="dxa"/>
            <w:vAlign w:val="bottom"/>
            <w:tcBorders>
              <w:bottom w:val="single" w:sz="8" w:color="auto"/>
            </w:tcBorders>
            <w:shd w:val="clear" w:color="auto" w:fill="E5E5E5"/>
          </w:tcPr>
          <w:p>
            <w:pPr>
              <w:spacing w:after="0"/>
              <w:rPr>
                <w:sz w:val="8"/>
                <w:szCs w:val="8"/>
                <w:color w:val="auto"/>
              </w:rPr>
            </w:pPr>
          </w:p>
        </w:tc>
        <w:tc>
          <w:tcPr>
            <w:tcW w:w="400" w:type="dxa"/>
            <w:vAlign w:val="bottom"/>
            <w:tcBorders>
              <w:bottom w:val="single" w:sz="8" w:color="auto"/>
            </w:tcBorders>
            <w:shd w:val="clear" w:color="auto" w:fill="E5E5E5"/>
          </w:tcPr>
          <w:p>
            <w:pPr>
              <w:spacing w:after="0"/>
              <w:rPr>
                <w:sz w:val="8"/>
                <w:szCs w:val="8"/>
                <w:color w:val="auto"/>
              </w:rPr>
            </w:pPr>
          </w:p>
        </w:tc>
        <w:tc>
          <w:tcPr>
            <w:tcW w:w="640" w:type="dxa"/>
            <w:vAlign w:val="bottom"/>
            <w:tcBorders>
              <w:bottom w:val="single" w:sz="8" w:color="auto"/>
            </w:tcBorders>
            <w:shd w:val="clear" w:color="auto" w:fill="E5E5E5"/>
          </w:tcPr>
          <w:p>
            <w:pPr>
              <w:spacing w:after="0"/>
              <w:rPr>
                <w:sz w:val="8"/>
                <w:szCs w:val="8"/>
                <w:color w:val="auto"/>
              </w:rPr>
            </w:pPr>
          </w:p>
        </w:tc>
        <w:tc>
          <w:tcPr>
            <w:tcW w:w="1060" w:type="dxa"/>
            <w:vAlign w:val="bottom"/>
            <w:tcBorders>
              <w:bottom w:val="single" w:sz="8" w:color="auto"/>
            </w:tcBorders>
            <w:shd w:val="clear" w:color="auto" w:fill="E5E5E5"/>
          </w:tcPr>
          <w:p>
            <w:pPr>
              <w:spacing w:after="0"/>
              <w:rPr>
                <w:sz w:val="8"/>
                <w:szCs w:val="8"/>
                <w:color w:val="auto"/>
              </w:rPr>
            </w:pPr>
          </w:p>
        </w:tc>
        <w:tc>
          <w:tcPr>
            <w:tcW w:w="160" w:type="dxa"/>
            <w:vAlign w:val="bottom"/>
            <w:tcBorders>
              <w:bottom w:val="single" w:sz="8" w:color="auto"/>
            </w:tcBorders>
            <w:shd w:val="clear" w:color="auto" w:fill="E5E5E5"/>
          </w:tcPr>
          <w:p>
            <w:pPr>
              <w:spacing w:after="0"/>
              <w:rPr>
                <w:sz w:val="8"/>
                <w:szCs w:val="8"/>
                <w:color w:val="auto"/>
              </w:rPr>
            </w:pPr>
          </w:p>
        </w:tc>
        <w:tc>
          <w:tcPr>
            <w:tcW w:w="620" w:type="dxa"/>
            <w:vAlign w:val="bottom"/>
            <w:tcBorders>
              <w:bottom w:val="single" w:sz="8" w:color="auto"/>
            </w:tcBorders>
            <w:shd w:val="clear" w:color="auto" w:fill="E5E5E5"/>
          </w:tcPr>
          <w:p>
            <w:pPr>
              <w:spacing w:after="0"/>
              <w:rPr>
                <w:sz w:val="8"/>
                <w:szCs w:val="8"/>
                <w:color w:val="auto"/>
              </w:rPr>
            </w:pPr>
          </w:p>
        </w:tc>
        <w:tc>
          <w:tcPr>
            <w:tcW w:w="580" w:type="dxa"/>
            <w:vAlign w:val="bottom"/>
            <w:tcBorders>
              <w:bottom w:val="single" w:sz="8" w:color="auto"/>
            </w:tcBorders>
            <w:shd w:val="clear" w:color="auto" w:fill="E5E5E5"/>
          </w:tcPr>
          <w:p>
            <w:pPr>
              <w:spacing w:after="0"/>
              <w:rPr>
                <w:sz w:val="8"/>
                <w:szCs w:val="8"/>
                <w:color w:val="auto"/>
              </w:rPr>
            </w:pPr>
          </w:p>
        </w:tc>
        <w:tc>
          <w:tcPr>
            <w:tcW w:w="80" w:type="dxa"/>
            <w:vAlign w:val="bottom"/>
            <w:tcBorders>
              <w:bottom w:val="single" w:sz="8" w:color="auto"/>
            </w:tcBorders>
            <w:shd w:val="clear" w:color="auto" w:fill="E5E5E5"/>
          </w:tcPr>
          <w:p>
            <w:pPr>
              <w:spacing w:after="0"/>
              <w:rPr>
                <w:sz w:val="8"/>
                <w:szCs w:val="8"/>
                <w:color w:val="auto"/>
              </w:rPr>
            </w:pPr>
          </w:p>
        </w:tc>
        <w:tc>
          <w:tcPr>
            <w:tcW w:w="60" w:type="dxa"/>
            <w:vAlign w:val="bottom"/>
            <w:tcBorders>
              <w:bottom w:val="single" w:sz="8" w:color="auto"/>
            </w:tcBorders>
            <w:shd w:val="clear" w:color="auto" w:fill="E5E5E5"/>
          </w:tcPr>
          <w:p>
            <w:pPr>
              <w:spacing w:after="0"/>
              <w:rPr>
                <w:sz w:val="8"/>
                <w:szCs w:val="8"/>
                <w:color w:val="auto"/>
              </w:rPr>
            </w:pPr>
          </w:p>
        </w:tc>
        <w:tc>
          <w:tcPr>
            <w:tcW w:w="240" w:type="dxa"/>
            <w:vAlign w:val="bottom"/>
            <w:tcBorders>
              <w:bottom w:val="single" w:sz="8" w:color="auto"/>
            </w:tcBorders>
            <w:shd w:val="clear" w:color="auto" w:fill="E5E5E5"/>
          </w:tcPr>
          <w:p>
            <w:pPr>
              <w:spacing w:after="0"/>
              <w:rPr>
                <w:sz w:val="8"/>
                <w:szCs w:val="8"/>
                <w:color w:val="auto"/>
              </w:rPr>
            </w:pPr>
          </w:p>
        </w:tc>
        <w:tc>
          <w:tcPr>
            <w:tcW w:w="640" w:type="dxa"/>
            <w:vAlign w:val="bottom"/>
            <w:tcBorders>
              <w:bottom w:val="single" w:sz="8" w:color="auto"/>
            </w:tcBorders>
            <w:gridSpan w:val="2"/>
            <w:shd w:val="clear" w:color="auto" w:fill="E5E5E5"/>
          </w:tcPr>
          <w:p>
            <w:pPr>
              <w:spacing w:after="0"/>
              <w:rPr>
                <w:sz w:val="8"/>
                <w:szCs w:val="8"/>
                <w:color w:val="auto"/>
              </w:rPr>
            </w:pPr>
          </w:p>
        </w:tc>
        <w:tc>
          <w:tcPr>
            <w:tcW w:w="740" w:type="dxa"/>
            <w:vAlign w:val="bottom"/>
            <w:tcBorders>
              <w:bottom w:val="single" w:sz="8" w:color="auto"/>
            </w:tcBorders>
            <w:shd w:val="clear" w:color="auto" w:fill="E5E5E5"/>
          </w:tcPr>
          <w:p>
            <w:pPr>
              <w:spacing w:after="0"/>
              <w:rPr>
                <w:sz w:val="8"/>
                <w:szCs w:val="8"/>
                <w:color w:val="auto"/>
              </w:rPr>
            </w:pPr>
          </w:p>
        </w:tc>
        <w:tc>
          <w:tcPr>
            <w:tcW w:w="940" w:type="dxa"/>
            <w:vAlign w:val="bottom"/>
            <w:tcBorders>
              <w:bottom w:val="single" w:sz="8" w:color="auto"/>
            </w:tcBorders>
            <w:gridSpan w:val="2"/>
            <w:shd w:val="clear" w:color="auto" w:fill="E5E5E5"/>
          </w:tcPr>
          <w:p>
            <w:pPr>
              <w:spacing w:after="0"/>
              <w:rPr>
                <w:sz w:val="8"/>
                <w:szCs w:val="8"/>
                <w:color w:val="auto"/>
              </w:rPr>
            </w:pPr>
          </w:p>
        </w:tc>
        <w:tc>
          <w:tcPr>
            <w:tcW w:w="220" w:type="dxa"/>
            <w:vAlign w:val="bottom"/>
            <w:tcBorders>
              <w:bottom w:val="single" w:sz="8" w:color="auto"/>
            </w:tcBorders>
            <w:shd w:val="clear" w:color="auto" w:fill="E5E5E5"/>
          </w:tcPr>
          <w:p>
            <w:pPr>
              <w:spacing w:after="0"/>
              <w:rPr>
                <w:sz w:val="8"/>
                <w:szCs w:val="8"/>
                <w:color w:val="auto"/>
              </w:rPr>
            </w:pPr>
          </w:p>
        </w:tc>
        <w:tc>
          <w:tcPr>
            <w:tcW w:w="620" w:type="dxa"/>
            <w:vAlign w:val="bottom"/>
            <w:tcBorders>
              <w:bottom w:val="single" w:sz="8" w:color="auto"/>
            </w:tcBorders>
            <w:shd w:val="clear" w:color="auto" w:fill="E5E5E5"/>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
        </w:trPr>
        <w:tc>
          <w:tcPr>
            <w:tcW w:w="1200" w:type="dxa"/>
            <w:vAlign w:val="bottom"/>
          </w:tcPr>
          <w:p>
            <w:pPr>
              <w:spacing w:after="0" w:line="47" w:lineRule="exact"/>
              <w:rPr>
                <w:sz w:val="20"/>
                <w:szCs w:val="20"/>
                <w:color w:val="auto"/>
              </w:rPr>
            </w:pPr>
            <w:r>
              <w:rPr>
                <w:rFonts w:ascii="Arial" w:cs="Arial" w:eastAsia="Arial" w:hAnsi="Arial"/>
                <w:sz w:val="5"/>
                <w:szCs w:val="5"/>
                <w:color w:val="auto"/>
              </w:rPr>
              <w:t>Anthony Blasquez</w:t>
            </w:r>
          </w:p>
        </w:tc>
        <w:tc>
          <w:tcPr>
            <w:tcW w:w="80" w:type="dxa"/>
            <w:vAlign w:val="bottom"/>
          </w:tcPr>
          <w:p>
            <w:pPr>
              <w:spacing w:after="0"/>
              <w:rPr>
                <w:sz w:val="4"/>
                <w:szCs w:val="4"/>
                <w:color w:val="auto"/>
              </w:rPr>
            </w:pPr>
          </w:p>
        </w:tc>
        <w:tc>
          <w:tcPr>
            <w:tcW w:w="920" w:type="dxa"/>
            <w:vAlign w:val="bottom"/>
          </w:tcPr>
          <w:p>
            <w:pPr>
              <w:jc w:val="right"/>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​02/24/2023</w:t>
            </w:r>
            <w:r>
              <w:rPr>
                <w:rFonts w:ascii="Arial" w:cs="Arial" w:eastAsia="Arial" w:hAnsi="Arial"/>
                <w:sz w:val="5"/>
                <w:szCs w:val="5"/>
                <w:color w:val="auto"/>
                <w:vertAlign w:val="superscript"/>
              </w:rPr>
              <w:t>​​ ​</w:t>
            </w:r>
          </w:p>
        </w:tc>
        <w:tc>
          <w:tcPr>
            <w:tcW w:w="400" w:type="dxa"/>
            <w:vAlign w:val="bottom"/>
          </w:tcPr>
          <w:p>
            <w:pPr>
              <w:ind w:left="30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tcPr>
          <w:p>
            <w:pPr>
              <w:jc w:val="right"/>
              <w:ind w:right="42"/>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060" w:type="dxa"/>
            <w:vAlign w:val="bottom"/>
          </w:tcPr>
          <w:p>
            <w:pPr>
              <w:ind w:left="72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60" w:type="dxa"/>
            <w:vAlign w:val="bottom"/>
          </w:tcPr>
          <w:p>
            <w:pPr>
              <w:ind w:left="40"/>
              <w:spacing w:after="0" w:line="47" w:lineRule="exact"/>
              <w:rPr>
                <w:sz w:val="20"/>
                <w:szCs w:val="20"/>
                <w:color w:val="auto"/>
              </w:rPr>
            </w:pP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620" w:type="dxa"/>
            <w:vAlign w:val="bottom"/>
          </w:tcPr>
          <w:p>
            <w:pPr>
              <w:ind w:left="24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720" w:type="dxa"/>
            <w:vAlign w:val="bottom"/>
            <w:gridSpan w:val="3"/>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240" w:type="dxa"/>
            <w:vAlign w:val="bottom"/>
          </w:tcPr>
          <w:p>
            <w:pPr>
              <w:ind w:left="14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gridSpan w:val="2"/>
          </w:tcPr>
          <w:p>
            <w:pPr>
              <w:ind w:left="28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740" w:type="dxa"/>
            <w:vAlign w:val="bottom"/>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940" w:type="dxa"/>
            <w:vAlign w:val="bottom"/>
            <w:gridSpan w:val="2"/>
          </w:tcPr>
          <w:p>
            <w:pPr>
              <w:jc w:val="right"/>
              <w:ind w:right="28"/>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 10,967</w:t>
            </w:r>
            <w:r>
              <w:rPr>
                <w:rFonts w:ascii="Arial" w:cs="Arial" w:eastAsia="Arial" w:hAnsi="Arial"/>
                <w:sz w:val="5"/>
                <w:szCs w:val="5"/>
                <w:color w:val="auto"/>
                <w:vertAlign w:val="superscript"/>
              </w:rPr>
              <w:t>​​​</w:t>
            </w:r>
          </w:p>
        </w:tc>
        <w:tc>
          <w:tcPr>
            <w:tcW w:w="220" w:type="dxa"/>
            <w:vAlign w:val="bottom"/>
          </w:tcPr>
          <w:p>
            <w:pPr>
              <w:ind w:left="8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20" w:type="dxa"/>
            <w:vAlign w:val="bottom"/>
          </w:tcPr>
          <w:p>
            <w:pPr>
              <w:jc w:val="right"/>
              <w:spacing w:after="0" w:line="47" w:lineRule="exact"/>
              <w:rPr>
                <w:sz w:val="20"/>
                <w:szCs w:val="20"/>
                <w:color w:val="auto"/>
              </w:rPr>
            </w:pPr>
            <w:r>
              <w:rPr>
                <w:rFonts w:ascii="Arial" w:cs="Arial" w:eastAsia="Arial" w:hAnsi="Arial"/>
                <w:sz w:val="5"/>
                <w:szCs w:val="5"/>
                <w:color w:val="auto"/>
              </w:rPr>
              <w:t>192,572</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(5)</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vMerge w:val="restart"/>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gridSpan w:val="2"/>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17,918</w:t>
            </w:r>
            <w:r>
              <w:rPr>
                <w:rFonts w:ascii="Arial" w:cs="Arial" w:eastAsia="Arial" w:hAnsi="Arial"/>
                <w:sz w:val="3"/>
                <w:szCs w:val="3"/>
                <w:color w:val="auto"/>
                <w:vertAlign w:val="superscript"/>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314,640</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(6)</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940" w:type="dxa"/>
            <w:vAlign w:val="bottom"/>
            <w:gridSpan w:val="2"/>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gridSpan w:val="2"/>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23,258</w:t>
            </w:r>
            <w:r>
              <w:rPr>
                <w:rFonts w:ascii="Arial" w:cs="Arial" w:eastAsia="Arial" w:hAnsi="Arial"/>
                <w:sz w:val="3"/>
                <w:szCs w:val="3"/>
                <w:color w:val="auto"/>
                <w:vertAlign w:val="superscript"/>
              </w:rPr>
              <w:t>​​​</w:t>
            </w:r>
          </w:p>
        </w:tc>
        <w:tc>
          <w:tcPr>
            <w:tcW w:w="220" w:type="dxa"/>
            <w:vAlign w:val="bottom"/>
          </w:tcPr>
          <w:p>
            <w:pPr>
              <w:ind w:left="8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408,410</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(7)</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​02/24/2023</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60"/>
              <w:spacing w:after="0" w:line="27" w:lineRule="exact"/>
              <w:rPr>
                <w:sz w:val="20"/>
                <w:szCs w:val="20"/>
                <w:color w:val="auto"/>
              </w:rPr>
            </w:pPr>
            <w:r>
              <w:rPr>
                <w:rFonts w:ascii="Arial" w:cs="Arial" w:eastAsia="Arial" w:hAnsi="Arial"/>
                <w:sz w:val="2"/>
                <w:szCs w:val="2"/>
                <w:color w:val="auto"/>
              </w:rPr>
              <w:t>2,350</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2"/>
                <w:szCs w:val="2"/>
                <w:color w:val="auto"/>
              </w:rPr>
              <w:t>41,266</w:t>
            </w:r>
            <w:r>
              <w:rPr>
                <w:rFonts w:ascii="Arial" w:cs="Arial" w:eastAsia="Arial" w:hAnsi="Arial"/>
                <w:sz w:val="3"/>
                <w:szCs w:val="3"/>
                <w:color w:val="auto"/>
                <w:vertAlign w:val="superscript"/>
              </w:rPr>
              <w:t>​​​</w:t>
            </w:r>
          </w:p>
        </w:tc>
        <w:tc>
          <w:tcPr>
            <w:tcW w:w="260" w:type="dxa"/>
            <w:vAlign w:val="bottom"/>
            <w:shd w:val="clear" w:color="auto" w:fill="E5E5E5"/>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(2)</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tcPr>
          <w:p>
            <w:pPr>
              <w:ind w:left="60"/>
              <w:spacing w:after="0" w:line="27" w:lineRule="exact"/>
              <w:rPr>
                <w:sz w:val="20"/>
                <w:szCs w:val="20"/>
                <w:color w:val="auto"/>
              </w:rPr>
            </w:pPr>
            <w:r>
              <w:rPr>
                <w:rFonts w:ascii="Arial" w:cs="Arial" w:eastAsia="Arial" w:hAnsi="Arial"/>
                <w:sz w:val="2"/>
                <w:szCs w:val="2"/>
                <w:color w:val="auto"/>
              </w:rPr>
              <w:t>3,982</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tcPr>
          <w:p>
            <w:pPr>
              <w:jc w:val="right"/>
              <w:spacing w:after="0" w:line="27" w:lineRule="exact"/>
              <w:rPr>
                <w:sz w:val="20"/>
                <w:szCs w:val="20"/>
                <w:color w:val="auto"/>
              </w:rPr>
            </w:pPr>
            <w:r>
              <w:rPr>
                <w:rFonts w:ascii="Arial" w:cs="Arial" w:eastAsia="Arial" w:hAnsi="Arial"/>
                <w:sz w:val="2"/>
                <w:szCs w:val="2"/>
                <w:color w:val="auto"/>
              </w:rPr>
              <w:t>69,924</w:t>
            </w:r>
            <w:r>
              <w:rPr>
                <w:rFonts w:ascii="Arial" w:cs="Arial" w:eastAsia="Arial" w:hAnsi="Arial"/>
                <w:sz w:val="3"/>
                <w:szCs w:val="3"/>
                <w:color w:val="auto"/>
                <w:vertAlign w:val="superscript"/>
              </w:rPr>
              <w:t>​​​</w:t>
            </w:r>
          </w:p>
        </w:tc>
        <w:tc>
          <w:tcPr>
            <w:tcW w:w="260" w:type="dxa"/>
            <w:vAlign w:val="bottom"/>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(3)</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gridSpan w:val="2"/>
            <w:shd w:val="clear" w:color="auto" w:fill="E5E5E5"/>
          </w:tcPr>
          <w:p>
            <w:pPr>
              <w:ind w:left="60"/>
              <w:spacing w:after="0" w:line="27" w:lineRule="exact"/>
              <w:rPr>
                <w:sz w:val="20"/>
                <w:szCs w:val="20"/>
                <w:color w:val="auto"/>
              </w:rPr>
            </w:pPr>
            <w:r>
              <w:rPr>
                <w:rFonts w:ascii="Arial" w:cs="Arial" w:eastAsia="Arial" w:hAnsi="Arial"/>
                <w:sz w:val="2"/>
                <w:szCs w:val="2"/>
                <w:color w:val="auto"/>
              </w:rPr>
              <w:t>7,752</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2"/>
                <w:szCs w:val="2"/>
                <w:color w:val="auto"/>
              </w:rPr>
              <w:t>136,125</w:t>
            </w:r>
            <w:r>
              <w:rPr>
                <w:rFonts w:ascii="Arial" w:cs="Arial" w:eastAsia="Arial" w:hAnsi="Arial"/>
                <w:sz w:val="3"/>
                <w:szCs w:val="3"/>
                <w:color w:val="auto"/>
                <w:vertAlign w:val="superscript"/>
              </w:rPr>
              <w:t>​​​</w:t>
            </w:r>
          </w:p>
        </w:tc>
        <w:tc>
          <w:tcPr>
            <w:tcW w:w="260" w:type="dxa"/>
            <w:vAlign w:val="bottom"/>
            <w:shd w:val="clear" w:color="auto" w:fill="E5E5E5"/>
          </w:tcPr>
          <w:p>
            <w:pPr>
              <w:ind w:left="22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80" w:type="dxa"/>
            <w:vAlign w:val="bottom"/>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(4)</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2420" w:type="dxa"/>
            <w:vAlign w:val="bottom"/>
            <w:gridSpan w:val="4"/>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​07/01/2020</w:t>
            </w:r>
            <w:r>
              <w:rPr>
                <w:rFonts w:ascii="Arial" w:cs="Arial" w:eastAsia="Arial" w:hAnsi="Arial"/>
                <w:sz w:val="28"/>
                <w:szCs w:val="28"/>
                <w:color w:val="auto"/>
                <w:vertAlign w:val="superscript"/>
              </w:rPr>
              <w:t>​​ ​</w:t>
            </w:r>
          </w:p>
        </w:tc>
        <w:tc>
          <w:tcPr>
            <w:tcW w:w="400" w:type="dxa"/>
            <w:vAlign w:val="bottom"/>
            <w:tcBorders>
              <w:bottom w:val="single" w:sz="8" w:color="auto"/>
            </w:tcBorders>
          </w:tcPr>
          <w:p>
            <w:pPr>
              <w:ind w:left="30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Borders>
              <w:bottom w:val="single" w:sz="8" w:color="auto"/>
            </w:tcBorders>
          </w:tcPr>
          <w:p>
            <w:pPr>
              <w:jc w:val="right"/>
              <w:ind w:right="42"/>
              <w:spacing w:after="0" w:line="243" w:lineRule="exact"/>
              <w:rPr>
                <w:sz w:val="20"/>
                <w:szCs w:val="20"/>
                <w:color w:val="auto"/>
              </w:rPr>
            </w:pPr>
            <w:r>
              <w:rPr>
                <w:rFonts w:ascii="Arial" w:cs="Arial" w:eastAsia="Arial" w:hAnsi="Arial"/>
                <w:sz w:val="14"/>
                <w:szCs w:val="14"/>
                <w:color w:val="auto"/>
              </w:rPr>
              <w:t>2,500</w:t>
            </w:r>
            <w:r>
              <w:rPr>
                <w:rFonts w:ascii="Arial" w:cs="Arial" w:eastAsia="Arial" w:hAnsi="Arial"/>
                <w:sz w:val="28"/>
                <w:szCs w:val="28"/>
                <w:color w:val="auto"/>
                <w:vertAlign w:val="superscript"/>
              </w:rPr>
              <w:t>​​​</w:t>
            </w:r>
          </w:p>
        </w:tc>
        <w:tc>
          <w:tcPr>
            <w:tcW w:w="2560" w:type="dxa"/>
            <w:vAlign w:val="bottom"/>
            <w:tcBorders>
              <w:bottom w:val="single" w:sz="8" w:color="auto"/>
            </w:tcBorders>
            <w:gridSpan w:val="6"/>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r>
              <w:rPr>
                <w:rFonts w:ascii="Arial" w:cs="Arial" w:eastAsia="Arial" w:hAnsi="Arial"/>
                <w:sz w:val="28"/>
                <w:szCs w:val="28"/>
                <w:color w:val="auto"/>
                <w:vertAlign w:val="superscript"/>
              </w:rPr>
              <w:t>​​​ ​</w:t>
            </w:r>
            <w:r>
              <w:rPr>
                <w:rFonts w:ascii="Arial" w:cs="Arial" w:eastAsia="Arial" w:hAnsi="Arial"/>
                <w:sz w:val="14"/>
                <w:szCs w:val="14"/>
                <w:color w:val="auto"/>
              </w:rPr>
              <w:t>$ 26.62</w:t>
            </w:r>
            <w:r>
              <w:rPr>
                <w:rFonts w:ascii="Arial" w:cs="Arial" w:eastAsia="Arial" w:hAnsi="Arial"/>
                <w:sz w:val="28"/>
                <w:szCs w:val="28"/>
                <w:color w:val="auto"/>
                <w:vertAlign w:val="superscript"/>
              </w:rPr>
              <w:t>​​​​</w:t>
            </w:r>
            <w:r>
              <w:rPr>
                <w:rFonts w:ascii="Arial" w:cs="Arial" w:eastAsia="Arial" w:hAnsi="Arial"/>
                <w:sz w:val="14"/>
                <w:szCs w:val="14"/>
                <w:color w:val="auto"/>
              </w:rPr>
              <w:t>​07/01/2030</w:t>
            </w:r>
            <w:r>
              <w:rPr>
                <w:rFonts w:ascii="Arial" w:cs="Arial" w:eastAsia="Arial" w:hAnsi="Arial"/>
                <w:sz w:val="28"/>
                <w:szCs w:val="28"/>
                <w:color w:val="auto"/>
                <w:vertAlign w:val="superscript"/>
              </w:rPr>
              <w:t>​​​</w:t>
            </w:r>
          </w:p>
        </w:tc>
        <w:tc>
          <w:tcPr>
            <w:tcW w:w="240" w:type="dxa"/>
            <w:vAlign w:val="bottom"/>
            <w:tcBorders>
              <w:bottom w:val="single" w:sz="8" w:color="auto"/>
            </w:tcBorders>
          </w:tcPr>
          <w:p>
            <w:pPr>
              <w:ind w:left="14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Borders>
              <w:bottom w:val="single" w:sz="8" w:color="auto"/>
            </w:tcBorders>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7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60" w:type="dxa"/>
            <w:vAlign w:val="bottom"/>
            <w:tcBorders>
              <w:bottom w:val="single" w:sz="8" w:color="auto"/>
            </w:tcBorders>
          </w:tcPr>
          <w:p>
            <w:pPr>
              <w:ind w:left="22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80" w:type="dxa"/>
            <w:vAlign w:val="bottom"/>
            <w:tcBorders>
              <w:bottom w:val="single" w:sz="8" w:color="auto"/>
            </w:tcBorders>
          </w:tcPr>
          <w:p>
            <w:pPr>
              <w:jc w:val="right"/>
              <w:ind w:right="2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line="47" w:lineRule="exact"/>
              <w:rPr>
                <w:sz w:val="20"/>
                <w:szCs w:val="20"/>
                <w:color w:val="auto"/>
              </w:rPr>
            </w:pPr>
            <w:r>
              <w:rPr>
                <w:rFonts w:ascii="Arial" w:cs="Arial" w:eastAsia="Arial" w:hAnsi="Arial"/>
                <w:sz w:val="5"/>
                <w:szCs w:val="5"/>
                <w:color w:val="auto"/>
              </w:rPr>
              <w:t>Bryan Pechersky</w:t>
            </w:r>
          </w:p>
        </w:tc>
        <w:tc>
          <w:tcPr>
            <w:tcW w:w="80" w:type="dxa"/>
            <w:vAlign w:val="bottom"/>
            <w:tcBorders>
              <w:right w:val="single" w:sz="8" w:color="E5E5E5"/>
            </w:tcBorders>
          </w:tcPr>
          <w:p>
            <w:pPr>
              <w:spacing w:after="0"/>
              <w:rPr>
                <w:sz w:val="4"/>
                <w:szCs w:val="4"/>
                <w:color w:val="auto"/>
              </w:rPr>
            </w:pPr>
          </w:p>
        </w:tc>
        <w:tc>
          <w:tcPr>
            <w:tcW w:w="920" w:type="dxa"/>
            <w:vAlign w:val="bottom"/>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perscript"/>
              </w:rPr>
              <w:t>​​​</w:t>
            </w:r>
            <w:r>
              <w:rPr>
                <w:rFonts w:ascii="Arial" w:cs="Arial" w:eastAsia="Arial" w:hAnsi="Arial"/>
                <w:sz w:val="3"/>
                <w:szCs w:val="3"/>
                <w:color w:val="auto"/>
              </w:rPr>
              <w:t>​02/24/2023</w:t>
            </w:r>
            <w:r>
              <w:rPr>
                <w:rFonts w:ascii="Arial" w:cs="Arial" w:eastAsia="Arial" w:hAnsi="Arial"/>
                <w:sz w:val="5"/>
                <w:szCs w:val="5"/>
                <w:color w:val="auto"/>
                <w:vertAlign w:val="superscript"/>
              </w:rPr>
              <w:t>​​ ​</w:t>
            </w:r>
          </w:p>
        </w:tc>
        <w:tc>
          <w:tcPr>
            <w:tcW w:w="400" w:type="dxa"/>
            <w:vAlign w:val="bottom"/>
            <w:shd w:val="clear" w:color="auto" w:fill="E5E5E5"/>
          </w:tcPr>
          <w:p>
            <w:pPr>
              <w:ind w:left="30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shd w:val="clear" w:color="auto" w:fill="E5E5E5"/>
          </w:tcPr>
          <w:p>
            <w:pPr>
              <w:jc w:val="right"/>
              <w:ind w:right="42"/>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060" w:type="dxa"/>
            <w:vAlign w:val="bottom"/>
            <w:shd w:val="clear" w:color="auto" w:fill="E5E5E5"/>
          </w:tcPr>
          <w:p>
            <w:pPr>
              <w:ind w:left="72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160" w:type="dxa"/>
            <w:vAlign w:val="bottom"/>
            <w:shd w:val="clear" w:color="auto" w:fill="E5E5E5"/>
          </w:tcPr>
          <w:p>
            <w:pPr>
              <w:ind w:left="40"/>
              <w:spacing w:after="0" w:line="47" w:lineRule="exact"/>
              <w:rPr>
                <w:sz w:val="20"/>
                <w:szCs w:val="20"/>
                <w:color w:val="auto"/>
              </w:rPr>
            </w:pP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620" w:type="dxa"/>
            <w:vAlign w:val="bottom"/>
            <w:shd w:val="clear" w:color="auto" w:fill="E5E5E5"/>
          </w:tcPr>
          <w:p>
            <w:pPr>
              <w:ind w:left="24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720" w:type="dxa"/>
            <w:vAlign w:val="bottom"/>
            <w:gridSpan w:val="3"/>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240" w:type="dxa"/>
            <w:vAlign w:val="bottom"/>
            <w:shd w:val="clear" w:color="auto" w:fill="E5E5E5"/>
          </w:tcPr>
          <w:p>
            <w:pPr>
              <w:ind w:left="14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40" w:type="dxa"/>
            <w:vAlign w:val="bottom"/>
            <w:gridSpan w:val="2"/>
            <w:shd w:val="clear" w:color="auto" w:fill="E5E5E5"/>
          </w:tcPr>
          <w:p>
            <w:pPr>
              <w:ind w:left="280"/>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 xml:space="preserve">​​​​ </w:t>
            </w:r>
            <w:r>
              <w:rPr>
                <w:rFonts w:ascii="Arial" w:cs="Arial" w:eastAsia="Arial" w:hAnsi="Arial"/>
                <w:sz w:val="5"/>
                <w:szCs w:val="5"/>
                <w:color w:val="auto"/>
                <w:vertAlign w:val="subscript"/>
              </w:rPr>
              <w:t>​</w:t>
            </w:r>
          </w:p>
        </w:tc>
        <w:tc>
          <w:tcPr>
            <w:tcW w:w="740" w:type="dxa"/>
            <w:vAlign w:val="bottom"/>
            <w:shd w:val="clear" w:color="auto" w:fill="E5E5E5"/>
          </w:tcPr>
          <w:p>
            <w:pPr>
              <w:jc w:val="right"/>
              <w:spacing w:after="0" w:line="47" w:lineRule="exact"/>
              <w:rPr>
                <w:sz w:val="20"/>
                <w:szCs w:val="20"/>
                <w:color w:val="auto"/>
              </w:rPr>
            </w:pPr>
            <w:r>
              <w:rPr>
                <w:rFonts w:ascii="Arial" w:cs="Arial" w:eastAsia="Arial" w:hAnsi="Arial"/>
                <w:sz w:val="5"/>
                <w:szCs w:val="5"/>
                <w:color w:val="auto"/>
                <w:vertAlign w:val="subscript"/>
              </w:rPr>
              <w:t>—</w:t>
            </w:r>
            <w:r>
              <w:rPr>
                <w:rFonts w:ascii="Arial" w:cs="Arial" w:eastAsia="Arial" w:hAnsi="Arial"/>
                <w:sz w:val="3"/>
                <w:szCs w:val="3"/>
                <w:color w:val="auto"/>
              </w:rPr>
              <w:t>​​​</w:t>
            </w:r>
          </w:p>
        </w:tc>
        <w:tc>
          <w:tcPr>
            <w:tcW w:w="260" w:type="dxa"/>
            <w:vAlign w:val="bottom"/>
            <w:shd w:val="clear" w:color="auto" w:fill="E5E5E5"/>
          </w:tcPr>
          <w:p>
            <w:pPr>
              <w:ind w:left="22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80" w:type="dxa"/>
            <w:vAlign w:val="bottom"/>
            <w:shd w:val="clear" w:color="auto" w:fill="E5E5E5"/>
          </w:tcPr>
          <w:p>
            <w:pPr>
              <w:jc w:val="right"/>
              <w:ind w:right="28"/>
              <w:spacing w:after="0" w:line="47" w:lineRule="exact"/>
              <w:rPr>
                <w:sz w:val="20"/>
                <w:szCs w:val="20"/>
                <w:color w:val="auto"/>
              </w:rPr>
            </w:pPr>
            <w:r>
              <w:rPr>
                <w:rFonts w:ascii="Arial" w:cs="Arial" w:eastAsia="Arial" w:hAnsi="Arial"/>
                <w:sz w:val="3"/>
                <w:szCs w:val="3"/>
                <w:color w:val="auto"/>
              </w:rPr>
              <w:t>6,267</w:t>
            </w:r>
            <w:r>
              <w:rPr>
                <w:rFonts w:ascii="Arial" w:cs="Arial" w:eastAsia="Arial" w:hAnsi="Arial"/>
                <w:sz w:val="5"/>
                <w:szCs w:val="5"/>
                <w:color w:val="auto"/>
                <w:vertAlign w:val="superscript"/>
              </w:rPr>
              <w:t>​​​</w:t>
            </w:r>
          </w:p>
        </w:tc>
        <w:tc>
          <w:tcPr>
            <w:tcW w:w="220" w:type="dxa"/>
            <w:vAlign w:val="bottom"/>
            <w:shd w:val="clear" w:color="auto" w:fill="E5E5E5"/>
          </w:tcPr>
          <w:p>
            <w:pPr>
              <w:ind w:left="80"/>
              <w:spacing w:after="0" w:line="47" w:lineRule="exact"/>
              <w:rPr>
                <w:sz w:val="20"/>
                <w:szCs w:val="20"/>
                <w:color w:val="auto"/>
              </w:rPr>
            </w:pPr>
            <w:r>
              <w:rPr>
                <w:rFonts w:ascii="Arial" w:cs="Arial" w:eastAsia="Arial" w:hAnsi="Arial"/>
                <w:sz w:val="3"/>
                <w:szCs w:val="3"/>
                <w:color w:val="auto"/>
              </w:rPr>
              <w:t>​</w:t>
            </w:r>
            <w:r>
              <w:rPr>
                <w:rFonts w:ascii="Arial" w:cs="Arial" w:eastAsia="Arial" w:hAnsi="Arial"/>
                <w:sz w:val="5"/>
                <w:szCs w:val="5"/>
                <w:color w:val="auto"/>
                <w:vertAlign w:val="subscript"/>
              </w:rPr>
              <w:t>$</w:t>
            </w:r>
          </w:p>
        </w:tc>
        <w:tc>
          <w:tcPr>
            <w:tcW w:w="620" w:type="dxa"/>
            <w:vAlign w:val="bottom"/>
            <w:shd w:val="clear" w:color="auto" w:fill="E5E5E5"/>
          </w:tcPr>
          <w:p>
            <w:pPr>
              <w:jc w:val="right"/>
              <w:spacing w:after="0" w:line="47" w:lineRule="exact"/>
              <w:rPr>
                <w:sz w:val="20"/>
                <w:szCs w:val="20"/>
                <w:color w:val="auto"/>
              </w:rPr>
            </w:pPr>
            <w:r>
              <w:rPr>
                <w:rFonts w:ascii="Arial" w:cs="Arial" w:eastAsia="Arial" w:hAnsi="Arial"/>
                <w:sz w:val="5"/>
                <w:szCs w:val="5"/>
                <w:color w:val="auto"/>
              </w:rPr>
              <w:t>110,040</w:t>
            </w:r>
          </w:p>
        </w:tc>
        <w:tc>
          <w:tcPr>
            <w:tcW w:w="40" w:type="dxa"/>
            <w:vAlign w:val="bottom"/>
          </w:tcPr>
          <w:p>
            <w:pPr>
              <w:jc w:val="right"/>
              <w:spacing w:after="0" w:line="47"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80" w:type="dxa"/>
            <w:vAlign w:val="bottom"/>
            <w:tcBorders>
              <w:right w:val="single" w:sz="8" w:color="E5E5E5"/>
            </w:tcBorders>
          </w:tcPr>
          <w:p>
            <w:pPr>
              <w:spacing w:after="0"/>
              <w:rPr>
                <w:sz w:val="13"/>
                <w:szCs w:val="13"/>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(5)</w:t>
            </w:r>
          </w:p>
        </w:tc>
        <w:tc>
          <w:tcPr>
            <w:tcW w:w="40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tcBorders>
              <w:top w:val="single" w:sz="8" w:color="E5E5E5"/>
            </w:tcBorders>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Borders>
              <w:top w:val="single" w:sz="8" w:color="E5E5E5"/>
            </w:tcBorders>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Borders>
              <w:top w:val="single" w:sz="8" w:color="E5E5E5"/>
            </w:tcBorders>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Borders>
              <w:top w:val="single" w:sz="8" w:color="E5E5E5"/>
            </w:tcBorders>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Borders>
              <w:top w:val="single" w:sz="8" w:color="E5E5E5"/>
            </w:tcBorders>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tcBorders>
              <w:top w:val="single" w:sz="8" w:color="E5E5E5"/>
            </w:tcBorders>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Borders>
              <w:top w:val="single" w:sz="8" w:color="E5E5E5"/>
            </w:tcBorders>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Borders>
              <w:top w:val="single" w:sz="8" w:color="E5E5E5"/>
            </w:tcBorders>
            <w:gridSpan w:val="2"/>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tcBorders>
              <w:top w:val="single" w:sz="8" w:color="E5E5E5"/>
            </w:tcBorders>
            <w:gridSpan w:val="2"/>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10,496</w:t>
            </w:r>
            <w:r>
              <w:rPr>
                <w:rFonts w:ascii="Arial" w:cs="Arial" w:eastAsia="Arial" w:hAnsi="Arial"/>
                <w:sz w:val="3"/>
                <w:szCs w:val="3"/>
                <w:color w:val="auto"/>
                <w:vertAlign w:val="superscript"/>
              </w:rPr>
              <w:t>​​​</w:t>
            </w:r>
          </w:p>
        </w:tc>
        <w:tc>
          <w:tcPr>
            <w:tcW w:w="220" w:type="dxa"/>
            <w:vAlign w:val="bottom"/>
            <w:tcBorders>
              <w:top w:val="single" w:sz="8" w:color="E5E5E5"/>
            </w:tcBorders>
          </w:tcPr>
          <w:p>
            <w:pPr>
              <w:ind w:left="8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20" w:type="dxa"/>
            <w:vAlign w:val="bottom"/>
            <w:tcBorders>
              <w:top w:val="single" w:sz="8" w:color="E5E5E5"/>
            </w:tcBorders>
          </w:tcPr>
          <w:p>
            <w:pPr>
              <w:jc w:val="right"/>
              <w:spacing w:after="0" w:line="27" w:lineRule="exact"/>
              <w:rPr>
                <w:sz w:val="20"/>
                <w:szCs w:val="20"/>
                <w:color w:val="auto"/>
              </w:rPr>
            </w:pPr>
            <w:r>
              <w:rPr>
                <w:rFonts w:ascii="Arial" w:cs="Arial" w:eastAsia="Arial" w:hAnsi="Arial"/>
                <w:sz w:val="3"/>
                <w:szCs w:val="3"/>
                <w:color w:val="auto"/>
              </w:rPr>
              <w:t>184,310</w:t>
            </w:r>
          </w:p>
        </w:tc>
        <w:tc>
          <w:tcPr>
            <w:tcW w:w="4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(6)</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xml:space="preserve"> ​</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40" w:type="dxa"/>
            <w:vAlign w:val="bottom"/>
            <w:gridSpan w:val="2"/>
            <w:shd w:val="clear" w:color="auto" w:fill="E5E5E5"/>
          </w:tcPr>
          <w:p>
            <w:pPr>
              <w:ind w:left="28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940" w:type="dxa"/>
            <w:vAlign w:val="bottom"/>
            <w:gridSpan w:val="2"/>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 15,587</w:t>
            </w:r>
            <w:r>
              <w:rPr>
                <w:rFonts w:ascii="Arial" w:cs="Arial" w:eastAsia="Arial" w:hAnsi="Arial"/>
                <w:sz w:val="3"/>
                <w:szCs w:val="3"/>
                <w:color w:val="auto"/>
                <w:vertAlign w:val="superscript"/>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273,708</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(7)</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​02/24/2023</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tcPr>
          <w:p>
            <w:pPr>
              <w:ind w:left="60"/>
              <w:spacing w:after="0" w:line="27" w:lineRule="exact"/>
              <w:rPr>
                <w:sz w:val="20"/>
                <w:szCs w:val="20"/>
                <w:color w:val="auto"/>
              </w:rPr>
            </w:pPr>
            <w:r>
              <w:rPr>
                <w:rFonts w:ascii="Arial" w:cs="Arial" w:eastAsia="Arial" w:hAnsi="Arial"/>
                <w:sz w:val="2"/>
                <w:szCs w:val="2"/>
                <w:color w:val="auto"/>
              </w:rPr>
              <w:t>1,343</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tcPr>
          <w:p>
            <w:pPr>
              <w:jc w:val="right"/>
              <w:spacing w:after="0" w:line="27" w:lineRule="exact"/>
              <w:rPr>
                <w:sz w:val="20"/>
                <w:szCs w:val="20"/>
                <w:color w:val="auto"/>
              </w:rPr>
            </w:pPr>
            <w:r>
              <w:rPr>
                <w:rFonts w:ascii="Arial" w:cs="Arial" w:eastAsia="Arial" w:hAnsi="Arial"/>
                <w:sz w:val="2"/>
                <w:szCs w:val="2"/>
                <w:color w:val="auto"/>
              </w:rPr>
              <w:t>23,583</w:t>
            </w:r>
            <w:r>
              <w:rPr>
                <w:rFonts w:ascii="Arial" w:cs="Arial" w:eastAsia="Arial" w:hAnsi="Arial"/>
                <w:sz w:val="3"/>
                <w:szCs w:val="3"/>
                <w:color w:val="auto"/>
                <w:vertAlign w:val="superscript"/>
              </w:rPr>
              <w:t>​​​</w:t>
            </w:r>
          </w:p>
        </w:tc>
        <w:tc>
          <w:tcPr>
            <w:tcW w:w="260" w:type="dxa"/>
            <w:vAlign w:val="bottom"/>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(2)</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Borders>
              <w:right w:val="single" w:sz="8" w:color="E5E5E5"/>
            </w:tcBorders>
          </w:tcPr>
          <w:p>
            <w:pPr>
              <w:spacing w:after="0"/>
              <w:rPr>
                <w:sz w:val="2"/>
                <w:szCs w:val="2"/>
                <w:color w:val="auto"/>
              </w:rPr>
            </w:pPr>
          </w:p>
        </w:tc>
        <w:tc>
          <w:tcPr>
            <w:tcW w:w="9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​02/26/2024</w:t>
            </w:r>
            <w:r>
              <w:rPr>
                <w:rFonts w:ascii="Arial" w:cs="Arial" w:eastAsia="Arial" w:hAnsi="Arial"/>
                <w:sz w:val="3"/>
                <w:szCs w:val="3"/>
                <w:color w:val="auto"/>
                <w:vertAlign w:val="superscript"/>
              </w:rPr>
              <w:t>​​ ​</w:t>
            </w:r>
          </w:p>
        </w:tc>
        <w:tc>
          <w:tcPr>
            <w:tcW w:w="400" w:type="dxa"/>
            <w:vAlign w:val="bottom"/>
            <w:shd w:val="clear" w:color="auto" w:fill="E5E5E5"/>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shd w:val="clear" w:color="auto" w:fill="E5E5E5"/>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shd w:val="clear" w:color="auto" w:fill="E5E5E5"/>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shd w:val="clear" w:color="auto" w:fill="E5E5E5"/>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shd w:val="clear" w:color="auto" w:fill="E5E5E5"/>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shd w:val="clear" w:color="auto" w:fill="E5E5E5"/>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shd w:val="clear" w:color="auto" w:fill="E5E5E5"/>
          </w:tcPr>
          <w:p>
            <w:pPr>
              <w:ind w:left="60"/>
              <w:spacing w:after="0" w:line="27" w:lineRule="exact"/>
              <w:rPr>
                <w:sz w:val="20"/>
                <w:szCs w:val="20"/>
                <w:color w:val="auto"/>
              </w:rPr>
            </w:pPr>
            <w:r>
              <w:rPr>
                <w:rFonts w:ascii="Arial" w:cs="Arial" w:eastAsia="Arial" w:hAnsi="Arial"/>
                <w:sz w:val="2"/>
                <w:szCs w:val="2"/>
                <w:color w:val="auto"/>
              </w:rPr>
              <w:t>2,333</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shd w:val="clear" w:color="auto" w:fill="E5E5E5"/>
          </w:tcPr>
          <w:p>
            <w:pPr>
              <w:jc w:val="right"/>
              <w:spacing w:after="0" w:line="27" w:lineRule="exact"/>
              <w:rPr>
                <w:sz w:val="20"/>
                <w:szCs w:val="20"/>
                <w:color w:val="auto"/>
              </w:rPr>
            </w:pPr>
            <w:r>
              <w:rPr>
                <w:rFonts w:ascii="Arial" w:cs="Arial" w:eastAsia="Arial" w:hAnsi="Arial"/>
                <w:sz w:val="2"/>
                <w:szCs w:val="2"/>
                <w:color w:val="auto"/>
              </w:rPr>
              <w:t>40,967</w:t>
            </w:r>
            <w:r>
              <w:rPr>
                <w:rFonts w:ascii="Arial" w:cs="Arial" w:eastAsia="Arial" w:hAnsi="Arial"/>
                <w:sz w:val="3"/>
                <w:szCs w:val="3"/>
                <w:color w:val="auto"/>
                <w:vertAlign w:val="superscript"/>
              </w:rPr>
              <w:t>​​​</w:t>
            </w:r>
          </w:p>
        </w:tc>
        <w:tc>
          <w:tcPr>
            <w:tcW w:w="260" w:type="dxa"/>
            <w:vAlign w:val="bottom"/>
            <w:shd w:val="clear" w:color="auto" w:fill="E5E5E5"/>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shd w:val="clear" w:color="auto" w:fill="E5E5E5"/>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shd w:val="clear" w:color="auto" w:fill="E5E5E5"/>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shd w:val="clear" w:color="auto" w:fill="E5E5E5"/>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Borders>
              <w:right w:val="single" w:sz="8" w:color="E5E5E5"/>
            </w:tcBorders>
          </w:tcPr>
          <w:p>
            <w:pPr>
              <w:spacing w:after="0"/>
              <w:rPr>
                <w:sz w:val="10"/>
                <w:szCs w:val="10"/>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9"/>
                <w:szCs w:val="9"/>
                <w:color w:val="auto"/>
              </w:rPr>
              <w:t>(3)</w:t>
            </w:r>
          </w:p>
        </w:tc>
        <w:tc>
          <w:tcPr>
            <w:tcW w:w="40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7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Borders>
              <w:right w:val="single" w:sz="8" w:color="E5E5E5"/>
            </w:tcBorders>
          </w:tcPr>
          <w:p>
            <w:pPr>
              <w:spacing w:after="0"/>
              <w:rPr>
                <w:sz w:val="8"/>
                <w:szCs w:val="8"/>
                <w:color w:val="auto"/>
              </w:rPr>
            </w:pPr>
          </w:p>
        </w:tc>
        <w:tc>
          <w:tcPr>
            <w:tcW w:w="92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640" w:type="dxa"/>
            <w:vAlign w:val="bottom"/>
            <w:gridSpan w:val="2"/>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40" w:type="dxa"/>
            <w:vAlign w:val="bottom"/>
            <w:vMerge w:val="restart"/>
          </w:tcPr>
          <w:p>
            <w:pPr>
              <w:jc w:val="right"/>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jc w:val="right"/>
              <w:spacing w:after="0" w:line="27" w:lineRule="exact"/>
              <w:rPr>
                <w:sz w:val="20"/>
                <w:szCs w:val="20"/>
                <w:color w:val="auto"/>
              </w:rPr>
            </w:pPr>
            <w:r>
              <w:rPr>
                <w:rFonts w:ascii="Arial" w:cs="Arial" w:eastAsia="Arial" w:hAnsi="Arial"/>
                <w:sz w:val="3"/>
                <w:szCs w:val="3"/>
                <w:color w:val="auto"/>
                <w:vertAlign w:val="superscript"/>
              </w:rPr>
              <w:t>​​</w:t>
            </w:r>
            <w:r>
              <w:rPr>
                <w:rFonts w:ascii="Arial" w:cs="Arial" w:eastAsia="Arial" w:hAnsi="Arial"/>
                <w:sz w:val="2"/>
                <w:szCs w:val="2"/>
                <w:color w:val="auto"/>
              </w:rPr>
              <w:t>​02/24/2025</w:t>
            </w:r>
            <w:r>
              <w:rPr>
                <w:rFonts w:ascii="Arial" w:cs="Arial" w:eastAsia="Arial" w:hAnsi="Arial"/>
                <w:sz w:val="3"/>
                <w:szCs w:val="3"/>
                <w:color w:val="auto"/>
                <w:vertAlign w:val="superscript"/>
              </w:rPr>
              <w:t>​​ ​</w:t>
            </w:r>
          </w:p>
        </w:tc>
        <w:tc>
          <w:tcPr>
            <w:tcW w:w="400" w:type="dxa"/>
            <w:vAlign w:val="bottom"/>
          </w:tcPr>
          <w:p>
            <w:pPr>
              <w:ind w:left="30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tcPr>
          <w:p>
            <w:pPr>
              <w:jc w:val="right"/>
              <w:ind w:right="42"/>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060" w:type="dxa"/>
            <w:vAlign w:val="bottom"/>
          </w:tcPr>
          <w:p>
            <w:pPr>
              <w:ind w:left="7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160" w:type="dxa"/>
            <w:vAlign w:val="bottom"/>
          </w:tcPr>
          <w:p>
            <w:pPr>
              <w:ind w:left="4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ind w:left="240"/>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720" w:type="dxa"/>
            <w:vAlign w:val="bottom"/>
            <w:gridSpan w:val="3"/>
          </w:tcPr>
          <w:p>
            <w:pPr>
              <w:jc w:val="right"/>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40" w:type="dxa"/>
            <w:vAlign w:val="bottom"/>
          </w:tcPr>
          <w:p>
            <w:pPr>
              <w:ind w:left="14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40" w:type="dxa"/>
            <w:vAlign w:val="bottom"/>
            <w:gridSpan w:val="2"/>
          </w:tcPr>
          <w:p>
            <w:pPr>
              <w:ind w:left="60"/>
              <w:spacing w:after="0" w:line="27" w:lineRule="exact"/>
              <w:rPr>
                <w:sz w:val="20"/>
                <w:szCs w:val="20"/>
                <w:color w:val="auto"/>
              </w:rPr>
            </w:pPr>
            <w:r>
              <w:rPr>
                <w:rFonts w:ascii="Arial" w:cs="Arial" w:eastAsia="Arial" w:hAnsi="Arial"/>
                <w:sz w:val="2"/>
                <w:szCs w:val="2"/>
                <w:color w:val="auto"/>
              </w:rPr>
              <w:t>5,195</w:t>
            </w:r>
            <w:r>
              <w:rPr>
                <w:rFonts w:ascii="Arial" w:cs="Arial" w:eastAsia="Arial" w:hAnsi="Arial"/>
                <w:sz w:val="3"/>
                <w:szCs w:val="3"/>
                <w:color w:val="auto"/>
                <w:vertAlign w:val="superscript"/>
              </w:rPr>
              <w:t>​​​​</w:t>
            </w:r>
            <w:r>
              <w:rPr>
                <w:rFonts w:ascii="Arial" w:cs="Arial" w:eastAsia="Arial" w:hAnsi="Arial"/>
                <w:sz w:val="2"/>
                <w:szCs w:val="2"/>
                <w:color w:val="auto"/>
              </w:rPr>
              <w:t>$</w:t>
            </w:r>
          </w:p>
        </w:tc>
        <w:tc>
          <w:tcPr>
            <w:tcW w:w="740" w:type="dxa"/>
            <w:vAlign w:val="bottom"/>
          </w:tcPr>
          <w:p>
            <w:pPr>
              <w:jc w:val="right"/>
              <w:spacing w:after="0" w:line="27" w:lineRule="exact"/>
              <w:rPr>
                <w:sz w:val="20"/>
                <w:szCs w:val="20"/>
                <w:color w:val="auto"/>
              </w:rPr>
            </w:pPr>
            <w:r>
              <w:rPr>
                <w:rFonts w:ascii="Arial" w:cs="Arial" w:eastAsia="Arial" w:hAnsi="Arial"/>
                <w:sz w:val="2"/>
                <w:szCs w:val="2"/>
                <w:color w:val="auto"/>
              </w:rPr>
              <w:t>91,224</w:t>
            </w:r>
            <w:r>
              <w:rPr>
                <w:rFonts w:ascii="Arial" w:cs="Arial" w:eastAsia="Arial" w:hAnsi="Arial"/>
                <w:sz w:val="3"/>
                <w:szCs w:val="3"/>
                <w:color w:val="auto"/>
                <w:vertAlign w:val="superscript"/>
              </w:rPr>
              <w:t>​​​</w:t>
            </w:r>
          </w:p>
        </w:tc>
        <w:tc>
          <w:tcPr>
            <w:tcW w:w="260" w:type="dxa"/>
            <w:vAlign w:val="bottom"/>
          </w:tcPr>
          <w:p>
            <w:pPr>
              <w:ind w:left="220"/>
              <w:spacing w:after="0" w:line="27" w:lineRule="exact"/>
              <w:rPr>
                <w:sz w:val="20"/>
                <w:szCs w:val="20"/>
                <w:color w:val="auto"/>
              </w:rPr>
            </w:pPr>
            <w:r>
              <w:rPr>
                <w:rFonts w:ascii="Arial" w:cs="Arial" w:eastAsia="Arial" w:hAnsi="Arial"/>
                <w:sz w:val="2"/>
                <w:szCs w:val="2"/>
                <w:color w:val="auto"/>
              </w:rPr>
              <w:t>​</w:t>
            </w:r>
            <w:r>
              <w:rPr>
                <w:rFonts w:ascii="Arial" w:cs="Arial" w:eastAsia="Arial" w:hAnsi="Arial"/>
                <w:sz w:val="3"/>
                <w:szCs w:val="3"/>
                <w:color w:val="auto"/>
                <w:vertAlign w:val="subscript"/>
              </w:rPr>
              <w:t>​</w:t>
            </w:r>
          </w:p>
        </w:tc>
        <w:tc>
          <w:tcPr>
            <w:tcW w:w="680" w:type="dxa"/>
            <w:vAlign w:val="bottom"/>
          </w:tcPr>
          <w:p>
            <w:pPr>
              <w:jc w:val="right"/>
              <w:ind w:right="28"/>
              <w:spacing w:after="0" w:line="27" w:lineRule="exact"/>
              <w:rPr>
                <w:sz w:val="20"/>
                <w:szCs w:val="20"/>
                <w:color w:val="auto"/>
              </w:rPr>
            </w:pPr>
            <w:r>
              <w:rPr>
                <w:rFonts w:ascii="Arial" w:cs="Arial" w:eastAsia="Arial" w:hAnsi="Arial"/>
                <w:sz w:val="3"/>
                <w:szCs w:val="3"/>
                <w:color w:val="auto"/>
                <w:vertAlign w:val="subscript"/>
              </w:rPr>
              <w:t>—</w:t>
            </w:r>
            <w:r>
              <w:rPr>
                <w:rFonts w:ascii="Arial" w:cs="Arial" w:eastAsia="Arial" w:hAnsi="Arial"/>
                <w:sz w:val="2"/>
                <w:szCs w:val="2"/>
                <w:color w:val="auto"/>
              </w:rPr>
              <w:t>​​​</w:t>
            </w:r>
          </w:p>
        </w:tc>
        <w:tc>
          <w:tcPr>
            <w:tcW w:w="220" w:type="dxa"/>
            <w:vAlign w:val="bottom"/>
          </w:tcPr>
          <w:p>
            <w:pPr>
              <w:ind w:left="80"/>
              <w:spacing w:after="0" w:line="27" w:lineRule="exact"/>
              <w:rPr>
                <w:sz w:val="20"/>
                <w:szCs w:val="20"/>
                <w:color w:val="auto"/>
              </w:rPr>
            </w:pPr>
            <w:r>
              <w:rPr>
                <w:rFonts w:ascii="Arial" w:cs="Arial" w:eastAsia="Arial" w:hAnsi="Arial"/>
                <w:sz w:val="2"/>
                <w:szCs w:val="2"/>
                <w:color w:val="auto"/>
              </w:rPr>
              <w:t xml:space="preserve">​ </w:t>
            </w:r>
            <w:r>
              <w:rPr>
                <w:rFonts w:ascii="Arial" w:cs="Arial" w:eastAsia="Arial" w:hAnsi="Arial"/>
                <w:sz w:val="3"/>
                <w:szCs w:val="3"/>
                <w:color w:val="auto"/>
                <w:vertAlign w:val="subscript"/>
              </w:rPr>
              <w:t>​</w:t>
            </w:r>
          </w:p>
        </w:tc>
        <w:tc>
          <w:tcPr>
            <w:tcW w:w="62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tcPr>
          <w:p>
            <w:pPr>
              <w:spacing w:after="0"/>
              <w:rPr>
                <w:sz w:val="10"/>
                <w:szCs w:val="1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9"/>
                <w:szCs w:val="9"/>
                <w:color w:val="auto"/>
              </w:rPr>
              <w:t>(4)</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E5E5E5"/>
            </w:tcBorders>
          </w:tcPr>
          <w:p>
            <w:pPr>
              <w:spacing w:after="0"/>
              <w:rPr>
                <w:sz w:val="22"/>
                <w:szCs w:val="22"/>
                <w:color w:val="auto"/>
              </w:rPr>
            </w:pPr>
          </w:p>
        </w:tc>
        <w:tc>
          <w:tcPr>
            <w:tcW w:w="920" w:type="dxa"/>
            <w:vAlign w:val="bottom"/>
            <w:tcBorders>
              <w:bottom w:val="single" w:sz="8" w:color="auto"/>
            </w:tcBorders>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​07/01/2020</w:t>
            </w:r>
            <w:r>
              <w:rPr>
                <w:rFonts w:ascii="Arial" w:cs="Arial" w:eastAsia="Arial" w:hAnsi="Arial"/>
                <w:sz w:val="28"/>
                <w:szCs w:val="28"/>
                <w:color w:val="auto"/>
                <w:vertAlign w:val="superscript"/>
              </w:rPr>
              <w:t>​​ ​</w:t>
            </w:r>
          </w:p>
        </w:tc>
        <w:tc>
          <w:tcPr>
            <w:tcW w:w="400" w:type="dxa"/>
            <w:vAlign w:val="bottom"/>
            <w:tcBorders>
              <w:bottom w:val="single" w:sz="8" w:color="auto"/>
            </w:tcBorders>
            <w:shd w:val="clear" w:color="auto" w:fill="E5E5E5"/>
          </w:tcPr>
          <w:p>
            <w:pPr>
              <w:ind w:left="30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E5E5E5"/>
          </w:tcPr>
          <w:p>
            <w:pPr>
              <w:jc w:val="right"/>
              <w:ind w:right="42"/>
              <w:spacing w:after="0" w:line="257" w:lineRule="exact"/>
              <w:rPr>
                <w:sz w:val="20"/>
                <w:szCs w:val="20"/>
                <w:color w:val="auto"/>
              </w:rPr>
            </w:pPr>
            <w:r>
              <w:rPr>
                <w:rFonts w:ascii="Arial" w:cs="Arial" w:eastAsia="Arial" w:hAnsi="Arial"/>
                <w:sz w:val="14"/>
                <w:szCs w:val="14"/>
                <w:color w:val="auto"/>
              </w:rPr>
              <w:t>10,000</w:t>
            </w:r>
            <w:r>
              <w:rPr>
                <w:rFonts w:ascii="Arial" w:cs="Arial" w:eastAsia="Arial" w:hAnsi="Arial"/>
                <w:sz w:val="28"/>
                <w:szCs w:val="28"/>
                <w:color w:val="auto"/>
                <w:vertAlign w:val="superscript"/>
              </w:rPr>
              <w:t>​​​</w:t>
            </w:r>
          </w:p>
        </w:tc>
        <w:tc>
          <w:tcPr>
            <w:tcW w:w="1060" w:type="dxa"/>
            <w:vAlign w:val="bottom"/>
            <w:tcBorders>
              <w:bottom w:val="single" w:sz="8" w:color="auto"/>
            </w:tcBorders>
            <w:shd w:val="clear" w:color="auto" w:fill="E5E5E5"/>
          </w:tcPr>
          <w:p>
            <w:pPr>
              <w:ind w:left="72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500" w:type="dxa"/>
            <w:vAlign w:val="bottom"/>
            <w:tcBorders>
              <w:bottom w:val="single" w:sz="8" w:color="auto"/>
            </w:tcBorders>
            <w:gridSpan w:val="5"/>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$ 26.62</w:t>
            </w:r>
            <w:r>
              <w:rPr>
                <w:rFonts w:ascii="Arial" w:cs="Arial" w:eastAsia="Arial" w:hAnsi="Arial"/>
                <w:sz w:val="28"/>
                <w:szCs w:val="28"/>
                <w:color w:val="auto"/>
                <w:vertAlign w:val="superscript"/>
              </w:rPr>
              <w:t>​​​​</w:t>
            </w:r>
            <w:r>
              <w:rPr>
                <w:rFonts w:ascii="Arial" w:cs="Arial" w:eastAsia="Arial" w:hAnsi="Arial"/>
                <w:sz w:val="14"/>
                <w:szCs w:val="14"/>
                <w:color w:val="auto"/>
              </w:rPr>
              <w:t>​07/01/2030</w:t>
            </w:r>
            <w:r>
              <w:rPr>
                <w:rFonts w:ascii="Arial" w:cs="Arial" w:eastAsia="Arial" w:hAnsi="Arial"/>
                <w:sz w:val="28"/>
                <w:szCs w:val="28"/>
                <w:color w:val="auto"/>
                <w:vertAlign w:val="superscript"/>
              </w:rPr>
              <w:t>​​​</w:t>
            </w:r>
          </w:p>
        </w:tc>
        <w:tc>
          <w:tcPr>
            <w:tcW w:w="240" w:type="dxa"/>
            <w:vAlign w:val="bottom"/>
            <w:tcBorders>
              <w:bottom w:val="single" w:sz="8" w:color="auto"/>
            </w:tcBorders>
            <w:shd w:val="clear" w:color="auto" w:fill="E5E5E5"/>
          </w:tcPr>
          <w:p>
            <w:pPr>
              <w:ind w:left="14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Borders>
              <w:bottom w:val="single" w:sz="8" w:color="auto"/>
            </w:tcBorders>
            <w:gridSpan w:val="2"/>
            <w:shd w:val="clear" w:color="auto" w:fill="E5E5E5"/>
          </w:tcPr>
          <w:p>
            <w:pPr>
              <w:ind w:left="28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740" w:type="dxa"/>
            <w:vAlign w:val="bottom"/>
            <w:tcBorders>
              <w:bottom w:val="single" w:sz="8" w:color="auto"/>
            </w:tcBorders>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ind w:left="22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80" w:type="dxa"/>
            <w:vAlign w:val="bottom"/>
            <w:tcBorders>
              <w:bottom w:val="single" w:sz="8" w:color="auto"/>
            </w:tcBorders>
            <w:shd w:val="clear" w:color="auto" w:fill="E5E5E5"/>
          </w:tcPr>
          <w:p>
            <w:pPr>
              <w:jc w:val="right"/>
              <w:ind w:right="28"/>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ind w:left="80"/>
              <w:spacing w:after="0" w:line="25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00"/>
          </w:cols>
          <w:pgMar w:left="580" w:top="97" w:right="1319" w:bottom="1440" w:gutter="0" w:footer="0" w:header="0"/>
        </w:sectPr>
      </w:pPr>
    </w:p>
    <w:p>
      <w:pPr>
        <w:spacing w:after="0" w:line="26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TABLES</w:t>
      </w:r>
    </w:p>
    <w:p>
      <w:pPr>
        <w:spacing w:after="0" w:line="376" w:lineRule="exact"/>
        <w:rPr>
          <w:sz w:val="20"/>
          <w:szCs w:val="20"/>
          <w:color w:val="auto"/>
        </w:rPr>
      </w:pPr>
    </w:p>
    <w:p>
      <w:pPr>
        <w:ind w:left="1120" w:hanging="358"/>
        <w:spacing w:after="0" w:line="270"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Calculated by reference to the closing price for shares of our common stock on the Nasdaq Global Select Market on December 31, 2025, which was $17.56.</w:t>
      </w:r>
    </w:p>
    <w:p>
      <w:pPr>
        <w:ind w:left="1120" w:hanging="358"/>
        <w:spacing w:after="0" w:line="271"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shares of our common stock that vested and were issued pursuant to the time-based restricted stock unit awards upon the named executive officer’s completion of three years of continuous employment with us from February 24, 2023.</w:t>
      </w:r>
    </w:p>
    <w:p>
      <w:pPr>
        <w:ind w:left="1120" w:hanging="358"/>
        <w:spacing w:after="0" w:line="262"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shares of our common stock that will vest and become issuable pursuant to the time-based restricted stock unit awards upon the named executive officer’s completion of three years of continuous employment with us from February 26, 2024.</w:t>
      </w:r>
    </w:p>
    <w:p>
      <w:pPr>
        <w:ind w:left="1120" w:hanging="358"/>
        <w:spacing w:after="0" w:line="270"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shares of our common stock that will vest and become issuable pursuant to the time-based restricted stock unit awards upon the named executive officer’s completion of three years of continuous employment with us from February 24, 2025.</w:t>
      </w:r>
    </w:p>
    <w:p>
      <w:pPr>
        <w:jc w:val="both"/>
        <w:ind w:left="1120" w:hanging="358"/>
        <w:spacing w:after="0" w:line="245"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shares of our common stock that vested and became issuable pursuant to the performance-based restricted stock unit awards based on our relative TSR performance as compared to the S&amp;P 1500 Specialty Retail Index for the three-year period ended December 31, 2025. Our relative TSR performance as compared to the S&amp;P 1500 Specialty Retail Index for the three-year period ended December 31, 2025, ranked at the 33</w:t>
      </w:r>
      <w:r>
        <w:rPr>
          <w:rFonts w:ascii="Arial" w:cs="Arial" w:eastAsia="Arial" w:hAnsi="Arial"/>
          <w:sz w:val="21"/>
          <w:szCs w:val="21"/>
          <w:i w:val="1"/>
          <w:iCs w:val="1"/>
          <w:color w:val="auto"/>
          <w:vertAlign w:val="superscript"/>
        </w:rPr>
        <w:t>rd</w:t>
      </w:r>
      <w:r>
        <w:rPr>
          <w:rFonts w:ascii="Arial" w:cs="Arial" w:eastAsia="Arial" w:hAnsi="Arial"/>
          <w:sz w:val="14"/>
          <w:szCs w:val="14"/>
          <w:i w:val="1"/>
          <w:iCs w:val="1"/>
          <w:color w:val="auto"/>
        </w:rPr>
        <w:t xml:space="preserve"> percentile, which resulted in 50% of the shares vesting.</w:t>
      </w:r>
    </w:p>
    <w:p>
      <w:pPr>
        <w:spacing w:after="0" w:line="2" w:lineRule="exact"/>
        <w:rPr>
          <w:rFonts w:ascii="Arial" w:cs="Arial" w:eastAsia="Arial" w:hAnsi="Arial"/>
          <w:sz w:val="14"/>
          <w:szCs w:val="14"/>
          <w:i w:val="1"/>
          <w:iCs w:val="1"/>
          <w:color w:val="auto"/>
        </w:rPr>
      </w:pPr>
    </w:p>
    <w:p>
      <w:pPr>
        <w:jc w:val="both"/>
        <w:ind w:left="1120" w:hanging="358"/>
        <w:spacing w:after="0" w:line="262"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shares of our common stock that may vest and become issuable pursuant to the performance-based restricted stock unit awards based on our relative TSR performance as compared to the S&amp;P 1500 Specialty Retail Index for the three-year period ending December 31, 2026, so long as the named executive officer remains an employee through December 31, 2026.</w:t>
      </w:r>
    </w:p>
    <w:p>
      <w:pPr>
        <w:jc w:val="both"/>
        <w:ind w:left="1120" w:hanging="358"/>
        <w:spacing w:after="0" w:line="268"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shares of our common stock that may vest and become issuable pursuant to the performance-based restricted stock unit awards based on our relative TSR performance as compared to the S&amp;P 1500 Specialty Retail Index for the three-year period ending December 31, 2027, so long as the named executive officer remains an employee through December 31, 2027.</w:t>
      </w:r>
    </w:p>
    <w:p>
      <w:pPr>
        <w:jc w:val="both"/>
        <w:ind w:left="1120" w:hanging="358"/>
        <w:spacing w:after="0" w:line="281" w:lineRule="auto"/>
        <w:tabs>
          <w:tab w:leader="none" w:pos="11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shares of our common stock of Mr. Khouri’s sign-on RSU grant that vest ratably over a three-year period of continuous employment with us from December 1, 2025. These sign-on RSUs were granted in consideration of equity awards Mr. Khouri forfeited from a previous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50</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The following table reflects certain information with respect to options exercised by our named executive officers during the 2025 fiscal year, as well as applicable stock awards that vested during the 2025 fiscal year:</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180" w:type="dxa"/>
            <w:vAlign w:val="bottom"/>
          </w:tcPr>
          <w:p>
            <w:pPr>
              <w:jc w:val="right"/>
              <w:ind w:right="1964"/>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ind w:left="860"/>
              <w:spacing w:after="0"/>
              <w:rPr>
                <w:sz w:val="20"/>
                <w:szCs w:val="20"/>
                <w:color w:val="auto"/>
              </w:rPr>
            </w:pPr>
            <w:r>
              <w:rPr>
                <w:rFonts w:ascii="Arial" w:cs="Arial" w:eastAsia="Arial" w:hAnsi="Arial"/>
                <w:sz w:val="15"/>
                <w:szCs w:val="15"/>
                <w:b w:val="1"/>
                <w:bCs w:val="1"/>
                <w:color w:val="auto"/>
              </w:rPr>
              <w:t>​ ​</w:t>
            </w:r>
          </w:p>
        </w:tc>
        <w:tc>
          <w:tcPr>
            <w:tcW w:w="2360" w:type="dxa"/>
            <w:vAlign w:val="bottom"/>
            <w:tcBorders>
              <w:bottom w:val="single" w:sz="8" w:color="auto"/>
            </w:tcBorders>
            <w:gridSpan w:val="3"/>
          </w:tcPr>
          <w:p>
            <w:pPr>
              <w:ind w:left="900"/>
              <w:spacing w:after="0"/>
              <w:rPr>
                <w:sz w:val="20"/>
                <w:szCs w:val="20"/>
                <w:color w:val="auto"/>
              </w:rPr>
            </w:pPr>
            <w:r>
              <w:rPr>
                <w:rFonts w:ascii="Arial" w:cs="Arial" w:eastAsia="Arial" w:hAnsi="Arial"/>
                <w:sz w:val="15"/>
                <w:szCs w:val="15"/>
                <w:b w:val="1"/>
                <w:bCs w:val="1"/>
                <w:color w:val="auto"/>
              </w:rPr>
              <w:t>Option Awards</w:t>
            </w:r>
          </w:p>
        </w:tc>
        <w:tc>
          <w:tcPr>
            <w:tcW w:w="52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 ​</w:t>
            </w:r>
          </w:p>
        </w:tc>
        <w:tc>
          <w:tcPr>
            <w:tcW w:w="1960" w:type="dxa"/>
            <w:vAlign w:val="bottom"/>
            <w:tcBorders>
              <w:bottom w:val="single" w:sz="8" w:color="auto"/>
            </w:tcBorders>
            <w:gridSpan w:val="3"/>
          </w:tcPr>
          <w:p>
            <w:pPr>
              <w:ind w:left="880"/>
              <w:spacing w:after="0"/>
              <w:rPr>
                <w:sz w:val="20"/>
                <w:szCs w:val="20"/>
                <w:color w:val="auto"/>
              </w:rPr>
            </w:pPr>
            <w:r>
              <w:rPr>
                <w:rFonts w:ascii="Arial" w:cs="Arial" w:eastAsia="Arial" w:hAnsi="Arial"/>
                <w:sz w:val="15"/>
                <w:szCs w:val="15"/>
                <w:b w:val="1"/>
                <w:bCs w:val="1"/>
                <w:color w:val="auto"/>
              </w:rPr>
              <w:t>Stock Awards</w:t>
            </w:r>
          </w:p>
        </w:tc>
        <w:tc>
          <w:tcPr>
            <w:tcW w:w="820" w:type="dxa"/>
            <w:vAlign w:val="bottom"/>
            <w:tcBorders>
              <w:bottom w:val="single" w:sz="8" w:color="auto"/>
            </w:tcBorders>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r>
      <w:tr>
        <w:trPr>
          <w:trHeight w:val="204"/>
        </w:trPr>
        <w:tc>
          <w:tcPr>
            <w:tcW w:w="2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Number of Shares</w:t>
            </w:r>
          </w:p>
        </w:tc>
        <w:tc>
          <w:tcPr>
            <w:tcW w:w="1300" w:type="dxa"/>
            <w:vAlign w:val="bottom"/>
            <w:gridSpan w:val="3"/>
          </w:tcPr>
          <w:p>
            <w:pPr>
              <w:jc w:val="right"/>
              <w:ind w:right="164"/>
              <w:spacing w:after="0"/>
              <w:rPr>
                <w:sz w:val="20"/>
                <w:szCs w:val="20"/>
                <w:color w:val="auto"/>
              </w:rPr>
            </w:pPr>
            <w:r>
              <w:rPr>
                <w:rFonts w:ascii="Arial" w:cs="Arial" w:eastAsia="Arial" w:hAnsi="Arial"/>
                <w:sz w:val="15"/>
                <w:szCs w:val="15"/>
                <w:b w:val="1"/>
                <w:bCs w:val="1"/>
                <w:color w:val="auto"/>
                <w:w w:val="98"/>
              </w:rPr>
              <w:t>Value Realized</w:t>
            </w:r>
          </w:p>
        </w:tc>
        <w:tc>
          <w:tcPr>
            <w:tcW w:w="170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Number of Shares</w:t>
            </w:r>
          </w:p>
        </w:tc>
        <w:tc>
          <w:tcPr>
            <w:tcW w:w="1240" w:type="dxa"/>
            <w:vAlign w:val="bottom"/>
            <w:gridSpan w:val="4"/>
          </w:tcPr>
          <w:p>
            <w:pPr>
              <w:ind w:left="20"/>
              <w:spacing w:after="0"/>
              <w:rPr>
                <w:sz w:val="20"/>
                <w:szCs w:val="20"/>
                <w:color w:val="auto"/>
              </w:rPr>
            </w:pPr>
            <w:r>
              <w:rPr>
                <w:rFonts w:ascii="Arial" w:cs="Arial" w:eastAsia="Arial" w:hAnsi="Arial"/>
                <w:sz w:val="15"/>
                <w:szCs w:val="15"/>
                <w:b w:val="1"/>
                <w:bCs w:val="1"/>
                <w:color w:val="auto"/>
              </w:rPr>
              <w:t>Value Realized</w:t>
            </w:r>
          </w:p>
        </w:tc>
      </w:tr>
      <w:tr>
        <w:trPr>
          <w:trHeight w:val="222"/>
        </w:trPr>
        <w:tc>
          <w:tcPr>
            <w:tcW w:w="2180" w:type="dxa"/>
            <w:vAlign w:val="bottom"/>
          </w:tcPr>
          <w:p>
            <w:pPr>
              <w:jc w:val="right"/>
              <w:ind w:right="1964"/>
              <w:spacing w:after="0"/>
              <w:rPr>
                <w:sz w:val="20"/>
                <w:szCs w:val="20"/>
                <w:color w:val="auto"/>
              </w:rPr>
            </w:pPr>
            <w:r>
              <w:rPr>
                <w:rFonts w:ascii="Arial" w:cs="Arial" w:eastAsia="Arial" w:hAnsi="Arial"/>
                <w:sz w:val="15"/>
                <w:szCs w:val="15"/>
                <w:b w:val="1"/>
                <w:bCs w:val="1"/>
                <w:color w:val="auto"/>
              </w:rPr>
              <w:t>​</w:t>
            </w:r>
          </w:p>
        </w:tc>
        <w:tc>
          <w:tcPr>
            <w:tcW w:w="6080" w:type="dxa"/>
            <w:vAlign w:val="bottom"/>
            <w:gridSpan w:val="9"/>
          </w:tcPr>
          <w:p>
            <w:pPr>
              <w:ind w:left="920"/>
              <w:spacing w:after="0"/>
              <w:rPr>
                <w:sz w:val="20"/>
                <w:szCs w:val="20"/>
                <w:color w:val="auto"/>
              </w:rPr>
            </w:pPr>
            <w:r>
              <w:rPr>
                <w:rFonts w:ascii="Arial" w:cs="Arial" w:eastAsia="Arial" w:hAnsi="Arial"/>
                <w:sz w:val="15"/>
                <w:szCs w:val="15"/>
                <w:b w:val="1"/>
                <w:bCs w:val="1"/>
                <w:color w:val="auto"/>
              </w:rPr>
              <w:t>​ ​Acquired on Exercise  ​ ​  on Exercise  ​ ​Acquired on Vesting  ​ ​</w:t>
            </w:r>
          </w:p>
        </w:tc>
        <w:tc>
          <w:tcPr>
            <w:tcW w:w="980" w:type="dxa"/>
            <w:vAlign w:val="bottom"/>
            <w:gridSpan w:val="3"/>
          </w:tcPr>
          <w:p>
            <w:pPr>
              <w:ind w:left="40"/>
              <w:spacing w:after="0"/>
              <w:rPr>
                <w:sz w:val="20"/>
                <w:szCs w:val="20"/>
                <w:color w:val="auto"/>
              </w:rPr>
            </w:pPr>
            <w:r>
              <w:rPr>
                <w:rFonts w:ascii="Arial" w:cs="Arial" w:eastAsia="Arial" w:hAnsi="Arial"/>
                <w:sz w:val="15"/>
                <w:szCs w:val="15"/>
                <w:b w:val="1"/>
                <w:bCs w:val="1"/>
                <w:color w:val="auto"/>
              </w:rPr>
              <w:t>on Vesting  ​</w:t>
            </w:r>
          </w:p>
        </w:tc>
      </w:tr>
      <w:tr>
        <w:trPr>
          <w:trHeight w:val="223"/>
        </w:trPr>
        <w:tc>
          <w:tcPr>
            <w:tcW w:w="2180" w:type="dxa"/>
            <w:vAlign w:val="bottom"/>
            <w:tcBorders>
              <w:top w:val="single" w:sz="8" w:color="auto"/>
            </w:tcBorders>
            <w:shd w:val="clear" w:color="auto" w:fill="E5E5E5"/>
          </w:tcPr>
          <w:p>
            <w:pPr>
              <w:ind w:left="40"/>
              <w:spacing w:after="0"/>
              <w:rPr>
                <w:sz w:val="20"/>
                <w:szCs w:val="20"/>
                <w:color w:val="auto"/>
              </w:rPr>
            </w:pPr>
            <w:r>
              <w:rPr>
                <w:rFonts w:ascii="Arial" w:cs="Arial" w:eastAsia="Arial" w:hAnsi="Arial"/>
                <w:sz w:val="15"/>
                <w:szCs w:val="15"/>
                <w:color w:val="auto"/>
              </w:rPr>
              <w:t>​Mitchell Fadel</w:t>
            </w:r>
          </w:p>
        </w:tc>
        <w:tc>
          <w:tcPr>
            <w:tcW w:w="1020" w:type="dxa"/>
            <w:vAlign w:val="bottom"/>
            <w:tcBorders>
              <w:top w:val="single" w:sz="8" w:color="auto"/>
            </w:tcBorders>
            <w:shd w:val="clear" w:color="auto" w:fill="E5E5E5"/>
          </w:tcPr>
          <w:p>
            <w:pPr>
              <w:ind w:left="860"/>
              <w:spacing w:after="0"/>
              <w:rPr>
                <w:sz w:val="20"/>
                <w:szCs w:val="20"/>
                <w:color w:val="auto"/>
              </w:rPr>
            </w:pPr>
            <w:r>
              <w:rPr>
                <w:rFonts w:ascii="Arial" w:cs="Arial" w:eastAsia="Arial" w:hAnsi="Arial"/>
                <w:sz w:val="15"/>
                <w:szCs w:val="15"/>
                <w:color w:val="auto"/>
              </w:rPr>
              <w:t>​ ​</w:t>
            </w:r>
          </w:p>
        </w:tc>
        <w:tc>
          <w:tcPr>
            <w:tcW w:w="18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​​80,197​​ ​</w:t>
            </w:r>
          </w:p>
        </w:tc>
        <w:tc>
          <w:tcPr>
            <w:tcW w:w="1300" w:type="dxa"/>
            <w:vAlign w:val="bottom"/>
            <w:tcBorders>
              <w:top w:val="single" w:sz="8" w:color="auto"/>
            </w:tcBorders>
            <w:gridSpan w:val="3"/>
            <w:shd w:val="clear" w:color="auto" w:fill="E5E5E5"/>
          </w:tcPr>
          <w:p>
            <w:pPr>
              <w:jc w:val="right"/>
              <w:spacing w:after="0"/>
              <w:rPr>
                <w:sz w:val="20"/>
                <w:szCs w:val="20"/>
                <w:color w:val="auto"/>
              </w:rPr>
            </w:pPr>
            <w:r>
              <w:rPr>
                <w:rFonts w:ascii="Arial" w:cs="Arial" w:eastAsia="Arial" w:hAnsi="Arial"/>
                <w:sz w:val="15"/>
                <w:szCs w:val="15"/>
                <w:color w:val="auto"/>
              </w:rPr>
              <w:t>​$    1,209,371​​ ​</w:t>
            </w:r>
          </w:p>
        </w:tc>
        <w:tc>
          <w:tcPr>
            <w:tcW w:w="170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​​162,993​​ ​</w:t>
            </w:r>
          </w:p>
        </w:tc>
        <w:tc>
          <w:tcPr>
            <w:tcW w:w="1200" w:type="dxa"/>
            <w:vAlign w:val="bottom"/>
            <w:tcBorders>
              <w:top w:val="single" w:sz="8" w:color="auto"/>
            </w:tcBorders>
            <w:gridSpan w:val="3"/>
            <w:shd w:val="clear" w:color="auto" w:fill="E5E5E5"/>
          </w:tcPr>
          <w:p>
            <w:pPr>
              <w:jc w:val="right"/>
              <w:spacing w:after="0"/>
              <w:rPr>
                <w:sz w:val="20"/>
                <w:szCs w:val="20"/>
                <w:color w:val="auto"/>
              </w:rPr>
            </w:pPr>
            <w:r>
              <w:rPr>
                <w:rFonts w:ascii="Arial" w:cs="Arial" w:eastAsia="Arial" w:hAnsi="Arial"/>
                <w:sz w:val="15"/>
                <w:szCs w:val="15"/>
                <w:color w:val="auto"/>
              </w:rPr>
              <w:t>​$    4,643,218​​</w:t>
            </w:r>
          </w:p>
        </w:tc>
        <w:tc>
          <w:tcPr>
            <w:tcW w:w="40" w:type="dxa"/>
            <w:vAlign w:val="bottom"/>
          </w:tcPr>
          <w:p>
            <w:pPr>
              <w:spacing w:after="0"/>
              <w:rPr>
                <w:sz w:val="19"/>
                <w:szCs w:val="19"/>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5"/>
                <w:szCs w:val="15"/>
                <w:color w:val="auto"/>
              </w:rPr>
              <w:t>​Fahmi Karam</w:t>
            </w:r>
          </w:p>
        </w:tc>
        <w:tc>
          <w:tcPr>
            <w:tcW w:w="1020" w:type="dxa"/>
            <w:vAlign w:val="bottom"/>
          </w:tcPr>
          <w:p>
            <w:pPr>
              <w:ind w:left="860"/>
              <w:spacing w:after="0"/>
              <w:rPr>
                <w:sz w:val="20"/>
                <w:szCs w:val="20"/>
                <w:color w:val="auto"/>
              </w:rPr>
            </w:pPr>
            <w:r>
              <w:rPr>
                <w:rFonts w:ascii="Arial" w:cs="Arial" w:eastAsia="Arial" w:hAnsi="Arial"/>
                <w:sz w:val="15"/>
                <w:szCs w:val="15"/>
                <w:color w:val="auto"/>
              </w:rPr>
              <w:t>​ ​</w:t>
            </w:r>
          </w:p>
        </w:tc>
        <w:tc>
          <w:tcPr>
            <w:tcW w:w="1280" w:type="dxa"/>
            <w:vAlign w:val="bottom"/>
          </w:tcPr>
          <w:p>
            <w:pPr>
              <w:ind w:left="106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 ​</w:t>
            </w:r>
          </w:p>
        </w:tc>
        <w:tc>
          <w:tcPr>
            <w:tcW w:w="560" w:type="dxa"/>
            <w:vAlign w:val="bottom"/>
          </w:tcPr>
          <w:p>
            <w:pPr>
              <w:ind w:left="1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 43,760​​ ​</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rPr>
              <w:t>959,240​​</w:t>
            </w:r>
          </w:p>
        </w:tc>
      </w:tr>
      <w:tr>
        <w:trPr>
          <w:trHeight w:val="229"/>
        </w:trPr>
        <w:tc>
          <w:tcPr>
            <w:tcW w:w="2180" w:type="dxa"/>
            <w:vAlign w:val="bottom"/>
            <w:shd w:val="clear" w:color="auto" w:fill="E5E5E5"/>
          </w:tcPr>
          <w:p>
            <w:pPr>
              <w:ind w:left="40"/>
              <w:spacing w:after="0"/>
              <w:rPr>
                <w:sz w:val="20"/>
                <w:szCs w:val="20"/>
                <w:color w:val="auto"/>
              </w:rPr>
            </w:pPr>
            <w:r>
              <w:rPr>
                <w:rFonts w:ascii="Arial" w:cs="Arial" w:eastAsia="Arial" w:hAnsi="Arial"/>
                <w:sz w:val="15"/>
                <w:szCs w:val="15"/>
                <w:color w:val="auto"/>
              </w:rPr>
              <w:t>​Hal Khouri</w:t>
            </w:r>
          </w:p>
        </w:tc>
        <w:tc>
          <w:tcPr>
            <w:tcW w:w="1020" w:type="dxa"/>
            <w:vAlign w:val="bottom"/>
            <w:shd w:val="clear" w:color="auto" w:fill="E5E5E5"/>
          </w:tcPr>
          <w:p>
            <w:pPr>
              <w:ind w:left="86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E5E5E5"/>
          </w:tcPr>
          <w:p>
            <w:pPr>
              <w:ind w:left="1060"/>
              <w:spacing w:after="0"/>
              <w:rPr>
                <w:sz w:val="20"/>
                <w:szCs w:val="20"/>
                <w:color w:val="auto"/>
              </w:rPr>
            </w:pPr>
            <w:r>
              <w:rPr>
                <w:rFonts w:ascii="Arial" w:cs="Arial" w:eastAsia="Arial" w:hAnsi="Arial"/>
                <w:sz w:val="15"/>
                <w:szCs w:val="15"/>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560" w:type="dxa"/>
            <w:vAlign w:val="bottom"/>
            <w:shd w:val="clear" w:color="auto" w:fill="E5E5E5"/>
          </w:tcPr>
          <w:p>
            <w:pPr>
              <w:ind w:left="12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160" w:type="dxa"/>
            <w:vAlign w:val="bottom"/>
            <w:shd w:val="clear" w:color="auto" w:fill="E5E5E5"/>
          </w:tcPr>
          <w:p>
            <w:pPr>
              <w:ind w:left="920"/>
              <w:spacing w:after="0"/>
              <w:rPr>
                <w:sz w:val="20"/>
                <w:szCs w:val="20"/>
                <w:color w:val="auto"/>
              </w:rPr>
            </w:pPr>
            <w:r>
              <w:rPr>
                <w:rFonts w:ascii="Arial" w:cs="Arial" w:eastAsia="Arial" w:hAnsi="Arial"/>
                <w:sz w:val="15"/>
                <w:szCs w:val="15"/>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260" w:type="dxa"/>
            <w:vAlign w:val="bottom"/>
            <w:shd w:val="clear" w:color="auto" w:fill="E5E5E5"/>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5"/>
                <w:szCs w:val="15"/>
                <w:color w:val="auto"/>
              </w:rPr>
              <w:t>​Tyler Montrone</w:t>
            </w:r>
          </w:p>
        </w:tc>
        <w:tc>
          <w:tcPr>
            <w:tcW w:w="1020" w:type="dxa"/>
            <w:vAlign w:val="bottom"/>
          </w:tcPr>
          <w:p>
            <w:pPr>
              <w:ind w:left="860"/>
              <w:spacing w:after="0"/>
              <w:rPr>
                <w:sz w:val="20"/>
                <w:szCs w:val="20"/>
                <w:color w:val="auto"/>
              </w:rPr>
            </w:pPr>
            <w:r>
              <w:rPr>
                <w:rFonts w:ascii="Arial" w:cs="Arial" w:eastAsia="Arial" w:hAnsi="Arial"/>
                <w:sz w:val="15"/>
                <w:szCs w:val="15"/>
                <w:color w:val="auto"/>
              </w:rPr>
              <w:t>​ ​</w:t>
            </w:r>
          </w:p>
        </w:tc>
        <w:tc>
          <w:tcPr>
            <w:tcW w:w="1280" w:type="dxa"/>
            <w:vAlign w:val="bottom"/>
          </w:tcPr>
          <w:p>
            <w:pPr>
              <w:ind w:left="106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 ​</w:t>
            </w:r>
          </w:p>
        </w:tc>
        <w:tc>
          <w:tcPr>
            <w:tcW w:w="560" w:type="dxa"/>
            <w:vAlign w:val="bottom"/>
          </w:tcPr>
          <w:p>
            <w:pPr>
              <w:ind w:left="1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 17,845​​ ​</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rPr>
              <w:t>510,025​​</w:t>
            </w:r>
          </w:p>
        </w:tc>
      </w:tr>
      <w:tr>
        <w:trPr>
          <w:trHeight w:val="230"/>
        </w:trPr>
        <w:tc>
          <w:tcPr>
            <w:tcW w:w="2180" w:type="dxa"/>
            <w:vAlign w:val="bottom"/>
            <w:shd w:val="clear" w:color="auto" w:fill="E5E5E5"/>
          </w:tcPr>
          <w:p>
            <w:pPr>
              <w:ind w:left="40"/>
              <w:spacing w:after="0"/>
              <w:rPr>
                <w:sz w:val="20"/>
                <w:szCs w:val="20"/>
                <w:color w:val="auto"/>
              </w:rPr>
            </w:pPr>
            <w:r>
              <w:rPr>
                <w:rFonts w:ascii="Arial" w:cs="Arial" w:eastAsia="Arial" w:hAnsi="Arial"/>
                <w:sz w:val="15"/>
                <w:szCs w:val="15"/>
                <w:color w:val="auto"/>
              </w:rPr>
              <w:t>​Anthony Blasquez</w:t>
            </w:r>
          </w:p>
        </w:tc>
        <w:tc>
          <w:tcPr>
            <w:tcW w:w="1020" w:type="dxa"/>
            <w:vAlign w:val="bottom"/>
            <w:shd w:val="clear" w:color="auto" w:fill="E5E5E5"/>
          </w:tcPr>
          <w:p>
            <w:pPr>
              <w:ind w:left="86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E5E5E5"/>
          </w:tcPr>
          <w:p>
            <w:pPr>
              <w:ind w:left="1060"/>
              <w:spacing w:after="0"/>
              <w:rPr>
                <w:sz w:val="20"/>
                <w:szCs w:val="20"/>
                <w:color w:val="auto"/>
              </w:rPr>
            </w:pPr>
            <w:r>
              <w:rPr>
                <w:rFonts w:ascii="Arial" w:cs="Arial" w:eastAsia="Arial" w:hAnsi="Arial"/>
                <w:sz w:val="15"/>
                <w:szCs w:val="15"/>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560" w:type="dxa"/>
            <w:vAlign w:val="bottom"/>
            <w:shd w:val="clear" w:color="auto" w:fill="E5E5E5"/>
          </w:tcPr>
          <w:p>
            <w:pPr>
              <w:ind w:left="12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7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16,092​​ ​</w:t>
            </w:r>
          </w:p>
        </w:tc>
        <w:tc>
          <w:tcPr>
            <w:tcW w:w="260" w:type="dxa"/>
            <w:vAlign w:val="bottom"/>
            <w:shd w:val="clear" w:color="auto" w:fill="E5E5E5"/>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458,983​​</w:t>
            </w:r>
          </w:p>
        </w:tc>
        <w:tc>
          <w:tcPr>
            <w:tcW w:w="40" w:type="dxa"/>
            <w:vAlign w:val="bottom"/>
          </w:tcPr>
          <w:p>
            <w:pPr>
              <w:spacing w:after="0"/>
              <w:rPr>
                <w:sz w:val="19"/>
                <w:szCs w:val="19"/>
                <w:color w:val="auto"/>
              </w:rPr>
            </w:pPr>
          </w:p>
        </w:tc>
      </w:tr>
      <w:tr>
        <w:trPr>
          <w:trHeight w:val="243"/>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​Bryan Pechersky</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 ​</w:t>
            </w: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11,834​​ ​</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339,053​​</w:t>
            </w:r>
          </w:p>
        </w:tc>
        <w:tc>
          <w:tcPr>
            <w:tcW w:w="40" w:type="dxa"/>
            <w:vAlign w:val="bottom"/>
          </w:tcPr>
          <w:p>
            <w:pPr>
              <w:spacing w:after="0"/>
              <w:rPr>
                <w:sz w:val="21"/>
                <w:szCs w:val="21"/>
                <w:color w:val="auto"/>
              </w:rPr>
            </w:pPr>
          </w:p>
        </w:tc>
      </w:tr>
    </w:tbl>
    <w:p>
      <w:pPr>
        <w:spacing w:after="0" w:line="286"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61" w:lineRule="auto"/>
        <w:rPr>
          <w:sz w:val="20"/>
          <w:szCs w:val="20"/>
          <w:color w:val="auto"/>
        </w:rPr>
      </w:pPr>
      <w:r>
        <w:rPr>
          <w:rFonts w:ascii="Arial" w:cs="Arial" w:eastAsia="Arial" w:hAnsi="Arial"/>
          <w:sz w:val="16"/>
          <w:szCs w:val="16"/>
          <w:color w:val="auto"/>
        </w:rPr>
        <w:t>The Upbound Group, Inc. Deferred Compensation Plan is an unfunded, non-qualified deferred compensation plan for a select group of our key management personnel and highly compensated employees. The Deferred Compensation Plan first became available to eligible employees in July 2007. The Deferred Compensation Plan allows participants to defer up to 50% of their base compensation and up to 100% of any bonus compensation. Participants may invest the amounts deferred in measurement funds that are the same funds offered as the investment options in our 401(k) Retirement Savings Plan. We may make discretionary contributions to the Deferred Compensation Plan, which are subject to a two-year graded vesting schedule based on the participant’s years of service with us. We made matching contributions in 2025 of 50% of the employee’s aggregate contributions to the Deferred Compensation Plan and the 401(k) Retirement Savings Plan, up to an amount not to exceed 6% of such employee’s compensation. These matching contributions are allocated to each of the Deferred Compensation Plan and the 401(k) Retirement Savings Plan based on the participant’s contributions to the respective plan for the year and, as a result, such allocations may vary year-to-year. We are obligated to pay the deferred compensation amounts in the future in accordance with the terms of the Deferred Compensation Plan.</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information for the named executive officers regarding contributions, earnings and balances for our</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Deferred Compensation Plan:</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rPr>
              <w:t>Executive</w:t>
            </w:r>
          </w:p>
        </w:tc>
        <w:tc>
          <w:tcPr>
            <w:tcW w:w="260" w:type="dxa"/>
            <w:vAlign w:val="bottom"/>
          </w:tcPr>
          <w:p>
            <w:pPr>
              <w:spacing w:after="0"/>
              <w:rPr>
                <w:sz w:val="16"/>
                <w:szCs w:val="16"/>
                <w:color w:val="auto"/>
              </w:rPr>
            </w:pPr>
          </w:p>
        </w:tc>
        <w:tc>
          <w:tcPr>
            <w:tcW w:w="1100" w:type="dxa"/>
            <w:vAlign w:val="bottom"/>
            <w:gridSpan w:val="2"/>
          </w:tcPr>
          <w:p>
            <w:pPr>
              <w:jc w:val="right"/>
              <w:ind w:right="32"/>
              <w:spacing w:after="0"/>
              <w:rPr>
                <w:sz w:val="20"/>
                <w:szCs w:val="20"/>
                <w:color w:val="auto"/>
              </w:rPr>
            </w:pPr>
            <w:r>
              <w:rPr>
                <w:rFonts w:ascii="Arial" w:cs="Arial" w:eastAsia="Arial" w:hAnsi="Arial"/>
                <w:sz w:val="15"/>
                <w:szCs w:val="15"/>
                <w:b w:val="1"/>
                <w:bCs w:val="1"/>
                <w:color w:val="auto"/>
              </w:rPr>
              <w:t>Registrant</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b w:val="1"/>
                <w:bCs w:val="1"/>
                <w:color w:val="auto"/>
                <w:w w:val="99"/>
              </w:rPr>
              <w:t>Aggregate</w:t>
            </w:r>
          </w:p>
        </w:tc>
        <w:tc>
          <w:tcPr>
            <w:tcW w:w="260" w:type="dxa"/>
            <w:vAlign w:val="bottom"/>
          </w:tcPr>
          <w:p>
            <w:pPr>
              <w:spacing w:after="0"/>
              <w:rPr>
                <w:sz w:val="16"/>
                <w:szCs w:val="16"/>
                <w:color w:val="auto"/>
              </w:rPr>
            </w:pPr>
          </w:p>
        </w:tc>
        <w:tc>
          <w:tcPr>
            <w:tcW w:w="1020" w:type="dxa"/>
            <w:vAlign w:val="bottom"/>
            <w:gridSpan w:val="2"/>
          </w:tcPr>
          <w:p>
            <w:pPr>
              <w:jc w:val="right"/>
              <w:ind w:right="12"/>
              <w:spacing w:after="0"/>
              <w:rPr>
                <w:sz w:val="20"/>
                <w:szCs w:val="20"/>
                <w:color w:val="auto"/>
              </w:rPr>
            </w:pPr>
            <w:r>
              <w:rPr>
                <w:rFonts w:ascii="Arial" w:cs="Arial" w:eastAsia="Arial" w:hAnsi="Arial"/>
                <w:sz w:val="15"/>
                <w:szCs w:val="15"/>
                <w:b w:val="1"/>
                <w:bCs w:val="1"/>
                <w:color w:val="auto"/>
              </w:rPr>
              <w:t>Aggregate</w:t>
            </w:r>
          </w:p>
        </w:tc>
        <w:tc>
          <w:tcPr>
            <w:tcW w:w="160" w:type="dxa"/>
            <w:vAlign w:val="bottom"/>
          </w:tcPr>
          <w:p>
            <w:pPr>
              <w:spacing w:after="0"/>
              <w:rPr>
                <w:sz w:val="16"/>
                <w:szCs w:val="16"/>
                <w:color w:val="auto"/>
              </w:rPr>
            </w:pPr>
          </w:p>
        </w:tc>
        <w:tc>
          <w:tcPr>
            <w:tcW w:w="1100" w:type="dxa"/>
            <w:vAlign w:val="bottom"/>
            <w:gridSpan w:val="2"/>
          </w:tcPr>
          <w:p>
            <w:pPr>
              <w:jc w:val="right"/>
              <w:ind w:right="51"/>
              <w:spacing w:after="0"/>
              <w:rPr>
                <w:sz w:val="20"/>
                <w:szCs w:val="20"/>
                <w:color w:val="auto"/>
              </w:rPr>
            </w:pPr>
            <w:r>
              <w:rPr>
                <w:rFonts w:ascii="Arial" w:cs="Arial" w:eastAsia="Arial" w:hAnsi="Arial"/>
                <w:sz w:val="15"/>
                <w:szCs w:val="15"/>
                <w:b w:val="1"/>
                <w:bCs w:val="1"/>
                <w:color w:val="auto"/>
              </w:rPr>
              <w:t>Aggregate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5"/>
                <w:szCs w:val="15"/>
                <w:b w:val="1"/>
                <w:bCs w:val="1"/>
                <w:color w:val="auto"/>
              </w:rPr>
              <w:t>Contributions</w:t>
            </w:r>
          </w:p>
        </w:tc>
        <w:tc>
          <w:tcPr>
            <w:tcW w:w="260" w:type="dxa"/>
            <w:vAlign w:val="bottom"/>
          </w:tcPr>
          <w:p>
            <w:pPr>
              <w:spacing w:after="0"/>
              <w:rPr>
                <w:sz w:val="16"/>
                <w:szCs w:val="16"/>
                <w:color w:val="auto"/>
              </w:rPr>
            </w:pPr>
          </w:p>
        </w:tc>
        <w:tc>
          <w:tcPr>
            <w:tcW w:w="1100" w:type="dxa"/>
            <w:vAlign w:val="bottom"/>
            <w:gridSpan w:val="2"/>
          </w:tcPr>
          <w:p>
            <w:pPr>
              <w:jc w:val="right"/>
              <w:ind w:right="32"/>
              <w:spacing w:after="0"/>
              <w:rPr>
                <w:sz w:val="20"/>
                <w:szCs w:val="20"/>
                <w:color w:val="auto"/>
              </w:rPr>
            </w:pPr>
            <w:r>
              <w:rPr>
                <w:rFonts w:ascii="Arial" w:cs="Arial" w:eastAsia="Arial" w:hAnsi="Arial"/>
                <w:sz w:val="15"/>
                <w:szCs w:val="15"/>
                <w:b w:val="1"/>
                <w:bCs w:val="1"/>
                <w:color w:val="auto"/>
                <w:w w:val="99"/>
              </w:rPr>
              <w:t>Contributions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Earnings</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Withdrawals/​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5"/>
                <w:szCs w:val="15"/>
                <w:b w:val="1"/>
                <w:bCs w:val="1"/>
                <w:color w:val="auto"/>
              </w:rPr>
              <w:t>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140" w:type="dxa"/>
            <w:vAlign w:val="bottom"/>
          </w:tcPr>
          <w:p>
            <w:pPr>
              <w:spacing w:after="0" w:line="154" w:lineRule="exact"/>
              <w:rPr>
                <w:sz w:val="20"/>
                <w:szCs w:val="20"/>
                <w:color w:val="auto"/>
              </w:rPr>
            </w:pPr>
            <w:r>
              <w:rPr>
                <w:rFonts w:ascii="Arial" w:cs="Arial" w:eastAsia="Arial" w:hAnsi="Arial"/>
                <w:sz w:val="15"/>
                <w:szCs w:val="15"/>
                <w:b w:val="1"/>
                <w:bCs w:val="1"/>
                <w:color w:val="auto"/>
              </w:rPr>
              <w:t>Name</w:t>
            </w:r>
          </w:p>
        </w:tc>
        <w:tc>
          <w:tcPr>
            <w:tcW w:w="1180" w:type="dxa"/>
            <w:vAlign w:val="bottom"/>
            <w:vMerge w:val="restart"/>
          </w:tcPr>
          <w:p>
            <w:pPr>
              <w:ind w:left="980"/>
              <w:spacing w:after="0"/>
              <w:rPr>
                <w:sz w:val="20"/>
                <w:szCs w:val="20"/>
                <w:color w:val="auto"/>
              </w:rPr>
            </w:pPr>
            <w:r>
              <w:rPr>
                <w:rFonts w:ascii="Arial" w:cs="Arial" w:eastAsia="Arial" w:hAnsi="Arial"/>
                <w:sz w:val="15"/>
                <w:szCs w:val="15"/>
                <w:b w:val="1"/>
                <w:bCs w:val="1"/>
                <w:color w:val="auto"/>
              </w:rPr>
              <w:t>​ ​</w:t>
            </w:r>
          </w:p>
        </w:tc>
        <w:tc>
          <w:tcPr>
            <w:tcW w:w="92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in FY 2025</w:t>
            </w:r>
            <w:r>
              <w:rPr>
                <w:rFonts w:ascii="Arial" w:cs="Arial" w:eastAsia="Arial" w:hAnsi="Arial"/>
                <w:sz w:val="17"/>
                <w:szCs w:val="17"/>
                <w:b w:val="1"/>
                <w:bCs w:val="1"/>
                <w:color w:val="auto"/>
                <w:vertAlign w:val="superscript"/>
              </w:rPr>
              <w:t>(1)</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w:t>
            </w:r>
          </w:p>
        </w:tc>
        <w:tc>
          <w:tcPr>
            <w:tcW w:w="1100" w:type="dxa"/>
            <w:vAlign w:val="bottom"/>
            <w:gridSpan w:val="2"/>
          </w:tcPr>
          <w:p>
            <w:pPr>
              <w:jc w:val="right"/>
              <w:ind w:right="32"/>
              <w:spacing w:after="0" w:line="154" w:lineRule="exact"/>
              <w:rPr>
                <w:sz w:val="20"/>
                <w:szCs w:val="20"/>
                <w:color w:val="auto"/>
              </w:rPr>
            </w:pPr>
            <w:r>
              <w:rPr>
                <w:rFonts w:ascii="Arial" w:cs="Arial" w:eastAsia="Arial" w:hAnsi="Arial"/>
                <w:sz w:val="14"/>
                <w:szCs w:val="14"/>
                <w:b w:val="1"/>
                <w:bCs w:val="1"/>
                <w:color w:val="auto"/>
              </w:rPr>
              <w:t>in FY 2025</w:t>
            </w:r>
            <w:r>
              <w:rPr>
                <w:rFonts w:ascii="Arial" w:cs="Arial" w:eastAsia="Arial" w:hAnsi="Arial"/>
                <w:sz w:val="17"/>
                <w:szCs w:val="17"/>
                <w:b w:val="1"/>
                <w:bCs w:val="1"/>
                <w:color w:val="auto"/>
                <w:vertAlign w:val="superscript"/>
              </w:rPr>
              <w:t>(1)(2)</w:t>
            </w:r>
          </w:p>
        </w:tc>
        <w:tc>
          <w:tcPr>
            <w:tcW w:w="1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w:t>
            </w:r>
          </w:p>
        </w:tc>
        <w:tc>
          <w:tcPr>
            <w:tcW w:w="780" w:type="dxa"/>
            <w:vAlign w:val="bottom"/>
            <w:gridSpan w:val="2"/>
          </w:tcPr>
          <w:p>
            <w:pPr>
              <w:jc w:val="right"/>
              <w:spacing w:after="0" w:line="154" w:lineRule="exact"/>
              <w:rPr>
                <w:sz w:val="20"/>
                <w:szCs w:val="20"/>
                <w:color w:val="auto"/>
              </w:rPr>
            </w:pPr>
            <w:r>
              <w:rPr>
                <w:rFonts w:ascii="Arial" w:cs="Arial" w:eastAsia="Arial" w:hAnsi="Arial"/>
                <w:sz w:val="15"/>
                <w:szCs w:val="15"/>
                <w:b w:val="1"/>
                <w:bCs w:val="1"/>
                <w:color w:val="auto"/>
                <w:w w:val="99"/>
              </w:rPr>
              <w:t>in FY 2025</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w:t>
            </w:r>
          </w:p>
        </w:tc>
        <w:tc>
          <w:tcPr>
            <w:tcW w:w="1020" w:type="dxa"/>
            <w:vAlign w:val="bottom"/>
            <w:gridSpan w:val="2"/>
          </w:tcPr>
          <w:p>
            <w:pPr>
              <w:jc w:val="right"/>
              <w:ind w:right="12"/>
              <w:spacing w:after="0" w:line="154" w:lineRule="exact"/>
              <w:rPr>
                <w:sz w:val="20"/>
                <w:szCs w:val="20"/>
                <w:color w:val="auto"/>
              </w:rPr>
            </w:pPr>
            <w:r>
              <w:rPr>
                <w:rFonts w:ascii="Arial" w:cs="Arial" w:eastAsia="Arial" w:hAnsi="Arial"/>
                <w:sz w:val="15"/>
                <w:szCs w:val="15"/>
                <w:b w:val="1"/>
                <w:bCs w:val="1"/>
                <w:color w:val="auto"/>
                <w:w w:val="99"/>
              </w:rPr>
              <w:t>Distributions</w:t>
            </w:r>
          </w:p>
        </w:tc>
        <w:tc>
          <w:tcPr>
            <w:tcW w:w="160" w:type="dxa"/>
            <w:vAlign w:val="bottom"/>
          </w:tcPr>
          <w:p>
            <w:pPr>
              <w:spacing w:after="0"/>
              <w:rPr>
                <w:sz w:val="13"/>
                <w:szCs w:val="13"/>
                <w:color w:val="auto"/>
              </w:rPr>
            </w:pPr>
          </w:p>
        </w:tc>
        <w:tc>
          <w:tcPr>
            <w:tcW w:w="1100" w:type="dxa"/>
            <w:vAlign w:val="bottom"/>
            <w:gridSpan w:val="2"/>
          </w:tcPr>
          <w:p>
            <w:pPr>
              <w:jc w:val="right"/>
              <w:ind w:right="51"/>
              <w:spacing w:after="0" w:line="154" w:lineRule="exact"/>
              <w:rPr>
                <w:sz w:val="20"/>
                <w:szCs w:val="20"/>
                <w:color w:val="auto"/>
              </w:rPr>
            </w:pPr>
            <w:r>
              <w:rPr>
                <w:rFonts w:ascii="Arial" w:cs="Arial" w:eastAsia="Arial" w:hAnsi="Arial"/>
                <w:sz w:val="14"/>
                <w:szCs w:val="14"/>
                <w:b w:val="1"/>
                <w:bCs w:val="1"/>
                <w:color w:val="auto"/>
              </w:rPr>
              <w:t>at FYE 2025</w:t>
            </w:r>
            <w:r>
              <w:rPr>
                <w:rFonts w:ascii="Arial" w:cs="Arial" w:eastAsia="Arial" w:hAnsi="Arial"/>
                <w:sz w:val="17"/>
                <w:szCs w:val="17"/>
                <w:b w:val="1"/>
                <w:bCs w:val="1"/>
                <w:color w:val="auto"/>
                <w:vertAlign w:val="superscript"/>
              </w:rPr>
              <w:t>(3)</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rPr>
              <w:t>​</w:t>
            </w:r>
          </w:p>
        </w:tc>
        <w:tc>
          <w:tcPr>
            <w:tcW w:w="118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jc w:val="right"/>
              <w:ind w:right="210"/>
              <w:spacing w:after="0" w:line="68" w:lineRule="exact"/>
              <w:rPr>
                <w:sz w:val="20"/>
                <w:szCs w:val="20"/>
                <w:color w:val="auto"/>
              </w:rPr>
            </w:pPr>
            <w:r>
              <w:rPr>
                <w:rFonts w:ascii="Arial" w:cs="Arial" w:eastAsia="Arial" w:hAnsi="Arial"/>
                <w:sz w:val="7"/>
                <w:szCs w:val="7"/>
                <w:b w:val="1"/>
                <w:bCs w:val="1"/>
                <w:color w:val="auto"/>
              </w:rPr>
              <w:t>​ ​</w:t>
            </w:r>
          </w:p>
        </w:tc>
        <w:tc>
          <w:tcPr>
            <w:tcW w:w="78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240" w:type="dxa"/>
            <w:vAlign w:val="bottom"/>
            <w:gridSpan w:val="2"/>
            <w:shd w:val="clear" w:color="auto" w:fill="E5E5E5"/>
          </w:tcPr>
          <w:p>
            <w:pPr>
              <w:ind w:left="40"/>
              <w:spacing w:after="0"/>
              <w:rPr>
                <w:sz w:val="20"/>
                <w:szCs w:val="20"/>
                <w:color w:val="auto"/>
              </w:rPr>
            </w:pPr>
            <w:r>
              <w:rPr>
                <w:rFonts w:ascii="Arial" w:cs="Arial" w:eastAsia="Arial" w:hAnsi="Arial"/>
                <w:sz w:val="15"/>
                <w:szCs w:val="15"/>
                <w:color w:val="auto"/>
              </w:rPr>
              <w:t>​Mitchell Fadel</w:t>
            </w:r>
          </w:p>
        </w:tc>
        <w:tc>
          <w:tcPr>
            <w:tcW w:w="1180" w:type="dxa"/>
            <w:vAlign w:val="bottom"/>
            <w:shd w:val="clear" w:color="auto" w:fill="E5E5E5"/>
          </w:tcPr>
          <w:p>
            <w:pPr>
              <w:ind w:left="920"/>
              <w:spacing w:after="0"/>
              <w:rPr>
                <w:sz w:val="20"/>
                <w:szCs w:val="20"/>
                <w:color w:val="auto"/>
              </w:rPr>
            </w:pPr>
            <w:r>
              <w:rPr>
                <w:rFonts w:ascii="Arial" w:cs="Arial" w:eastAsia="Arial" w:hAnsi="Arial"/>
                <w:sz w:val="15"/>
                <w:szCs w:val="15"/>
                <w:color w:val="auto"/>
              </w:rPr>
              <w:t>​ ​</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E5E5E5"/>
          </w:tcPr>
          <w:p>
            <w:pPr>
              <w:jc w:val="right"/>
              <w:ind w:right="8"/>
              <w:spacing w:after="0"/>
              <w:rPr>
                <w:sz w:val="20"/>
                <w:szCs w:val="20"/>
                <w:color w:val="auto"/>
              </w:rPr>
            </w:pPr>
            <w:r>
              <w:rPr>
                <w:rFonts w:ascii="Arial" w:cs="Arial" w:eastAsia="Arial" w:hAnsi="Arial"/>
                <w:sz w:val="15"/>
                <w:szCs w:val="15"/>
                <w:color w:val="auto"/>
              </w:rPr>
              <w:t>—​​ ​</w:t>
            </w:r>
          </w:p>
        </w:tc>
        <w:tc>
          <w:tcPr>
            <w:tcW w:w="520" w:type="dxa"/>
            <w:vAlign w:val="bottom"/>
            <w:shd w:val="clear" w:color="auto" w:fill="E5E5E5"/>
          </w:tcPr>
          <w:p>
            <w:pPr>
              <w:jc w:val="right"/>
              <w:ind w:right="89"/>
              <w:spacing w:after="0"/>
              <w:rPr>
                <w:sz w:val="20"/>
                <w:szCs w:val="20"/>
                <w:color w:val="auto"/>
              </w:rPr>
            </w:pPr>
            <w:r>
              <w:rPr>
                <w:rFonts w:ascii="Arial" w:cs="Arial" w:eastAsia="Arial" w:hAnsi="Arial"/>
                <w:sz w:val="15"/>
                <w:szCs w:val="15"/>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shd w:val="clear" w:color="auto" w:fill="E5E5E5"/>
          </w:tcPr>
          <w:p>
            <w:pPr>
              <w:jc w:val="right"/>
              <w:spacing w:after="0"/>
              <w:rPr>
                <w:sz w:val="20"/>
                <w:szCs w:val="20"/>
                <w:color w:val="auto"/>
              </w:rPr>
            </w:pPr>
            <w:r>
              <w:rPr>
                <w:rFonts w:ascii="Arial" w:cs="Arial" w:eastAsia="Arial" w:hAnsi="Arial"/>
                <w:sz w:val="15"/>
                <w:szCs w:val="15"/>
                <w:color w:val="auto"/>
              </w:rPr>
              <w:t>​​$    124,812​​ ​</w:t>
            </w:r>
          </w:p>
        </w:tc>
        <w:tc>
          <w:tcPr>
            <w:tcW w:w="1180" w:type="dxa"/>
            <w:vAlign w:val="bottom"/>
            <w:gridSpan w:val="3"/>
            <w:shd w:val="clear" w:color="auto" w:fill="E5E5E5"/>
          </w:tcPr>
          <w:p>
            <w:pPr>
              <w:jc w:val="right"/>
              <w:spacing w:after="0"/>
              <w:rPr>
                <w:sz w:val="20"/>
                <w:szCs w:val="20"/>
                <w:color w:val="auto"/>
              </w:rPr>
            </w:pPr>
            <w:r>
              <w:rPr>
                <w:rFonts w:ascii="Arial" w:cs="Arial" w:eastAsia="Arial" w:hAnsi="Arial"/>
                <w:sz w:val="15"/>
                <w:szCs w:val="15"/>
                <w:color w:val="auto"/>
              </w:rPr>
              <w:t>​$          —​​ ​</w:t>
            </w:r>
          </w:p>
        </w:tc>
        <w:tc>
          <w:tcPr>
            <w:tcW w:w="11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989,466​​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​Fahmi Karam</w:t>
            </w:r>
          </w:p>
        </w:tc>
        <w:tc>
          <w:tcPr>
            <w:tcW w:w="1180" w:type="dxa"/>
            <w:vAlign w:val="bottom"/>
          </w:tcPr>
          <w:p>
            <w:pPr>
              <w:ind w:left="920"/>
              <w:spacing w:after="0"/>
              <w:rPr>
                <w:sz w:val="20"/>
                <w:szCs w:val="20"/>
                <w:color w:val="auto"/>
              </w:rPr>
            </w:pPr>
            <w:r>
              <w:rPr>
                <w:rFonts w:ascii="Arial" w:cs="Arial" w:eastAsia="Arial" w:hAnsi="Arial"/>
                <w:sz w:val="15"/>
                <w:szCs w:val="15"/>
                <w:color w:val="auto"/>
              </w:rPr>
              <w:t>​ ​</w:t>
            </w:r>
          </w:p>
        </w:tc>
        <w:tc>
          <w:tcPr>
            <w:tcW w:w="36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
              <w:spacing w:after="0"/>
              <w:rPr>
                <w:sz w:val="20"/>
                <w:szCs w:val="20"/>
                <w:color w:val="auto"/>
              </w:rPr>
            </w:pPr>
            <w:r>
              <w:rPr>
                <w:rFonts w:ascii="Arial" w:cs="Arial" w:eastAsia="Arial" w:hAnsi="Arial"/>
                <w:sz w:val="15"/>
                <w:szCs w:val="15"/>
                <w:color w:val="auto"/>
              </w:rPr>
              <w:t>—​​ ​</w:t>
            </w:r>
          </w:p>
        </w:tc>
        <w:tc>
          <w:tcPr>
            <w:tcW w:w="520" w:type="dxa"/>
            <w:vAlign w:val="bottom"/>
          </w:tcPr>
          <w:p>
            <w:pPr>
              <w:jc w:val="right"/>
              <w:ind w:right="89"/>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58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E5E5E5"/>
          </w:tcPr>
          <w:p>
            <w:pPr>
              <w:ind w:left="40"/>
              <w:spacing w:after="0"/>
              <w:rPr>
                <w:sz w:val="20"/>
                <w:szCs w:val="20"/>
                <w:color w:val="auto"/>
              </w:rPr>
            </w:pPr>
            <w:r>
              <w:rPr>
                <w:rFonts w:ascii="Arial" w:cs="Arial" w:eastAsia="Arial" w:hAnsi="Arial"/>
                <w:sz w:val="15"/>
                <w:szCs w:val="15"/>
                <w:color w:val="auto"/>
              </w:rPr>
              <w:t>​Hal Khouri</w:t>
            </w:r>
          </w:p>
        </w:tc>
        <w:tc>
          <w:tcPr>
            <w:tcW w:w="1180" w:type="dxa"/>
            <w:vAlign w:val="bottom"/>
            <w:shd w:val="clear" w:color="auto" w:fill="E5E5E5"/>
          </w:tcPr>
          <w:p>
            <w:pPr>
              <w:ind w:left="920"/>
              <w:spacing w:after="0"/>
              <w:rPr>
                <w:sz w:val="20"/>
                <w:szCs w:val="20"/>
                <w:color w:val="auto"/>
              </w:rPr>
            </w:pPr>
            <w:r>
              <w:rPr>
                <w:rFonts w:ascii="Arial" w:cs="Arial" w:eastAsia="Arial" w:hAnsi="Arial"/>
                <w:sz w:val="15"/>
                <w:szCs w:val="15"/>
                <w:color w:val="auto"/>
              </w:rPr>
              <w:t>​ ​</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E5E5E5"/>
          </w:tcPr>
          <w:p>
            <w:pPr>
              <w:jc w:val="right"/>
              <w:ind w:right="8"/>
              <w:spacing w:after="0"/>
              <w:rPr>
                <w:sz w:val="20"/>
                <w:szCs w:val="20"/>
                <w:color w:val="auto"/>
              </w:rPr>
            </w:pPr>
            <w:r>
              <w:rPr>
                <w:rFonts w:ascii="Arial" w:cs="Arial" w:eastAsia="Arial" w:hAnsi="Arial"/>
                <w:sz w:val="15"/>
                <w:szCs w:val="15"/>
                <w:color w:val="auto"/>
              </w:rPr>
              <w:t>—​​ ​</w:t>
            </w:r>
          </w:p>
        </w:tc>
        <w:tc>
          <w:tcPr>
            <w:tcW w:w="520" w:type="dxa"/>
            <w:vAlign w:val="bottom"/>
            <w:shd w:val="clear" w:color="auto" w:fill="E5E5E5"/>
          </w:tcPr>
          <w:p>
            <w:pPr>
              <w:jc w:val="right"/>
              <w:ind w:right="89"/>
              <w:spacing w:after="0"/>
              <w:rPr>
                <w:sz w:val="20"/>
                <w:szCs w:val="20"/>
                <w:color w:val="auto"/>
              </w:rPr>
            </w:pPr>
            <w:r>
              <w:rPr>
                <w:rFonts w:ascii="Arial" w:cs="Arial" w:eastAsia="Arial" w:hAnsi="Arial"/>
                <w:sz w:val="15"/>
                <w:szCs w:val="15"/>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580" w:type="dxa"/>
            <w:vAlign w:val="bottom"/>
            <w:shd w:val="clear" w:color="auto" w:fill="E5E5E5"/>
          </w:tcPr>
          <w:p>
            <w:pPr>
              <w:jc w:val="right"/>
              <w:ind w:right="128"/>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3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​Tyler Montrone</w:t>
            </w:r>
          </w:p>
        </w:tc>
        <w:tc>
          <w:tcPr>
            <w:tcW w:w="1180" w:type="dxa"/>
            <w:vAlign w:val="bottom"/>
          </w:tcPr>
          <w:p>
            <w:pPr>
              <w:ind w:left="920"/>
              <w:spacing w:after="0"/>
              <w:rPr>
                <w:sz w:val="20"/>
                <w:szCs w:val="20"/>
                <w:color w:val="auto"/>
              </w:rPr>
            </w:pPr>
            <w:r>
              <w:rPr>
                <w:rFonts w:ascii="Arial" w:cs="Arial" w:eastAsia="Arial" w:hAnsi="Arial"/>
                <w:sz w:val="15"/>
                <w:szCs w:val="15"/>
                <w:color w:val="auto"/>
              </w:rPr>
              <w:t>​ ​</w:t>
            </w:r>
          </w:p>
        </w:tc>
        <w:tc>
          <w:tcPr>
            <w:tcW w:w="36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
              <w:spacing w:after="0"/>
              <w:rPr>
                <w:sz w:val="20"/>
                <w:szCs w:val="20"/>
                <w:color w:val="auto"/>
              </w:rPr>
            </w:pPr>
            <w:r>
              <w:rPr>
                <w:rFonts w:ascii="Arial" w:cs="Arial" w:eastAsia="Arial" w:hAnsi="Arial"/>
                <w:sz w:val="15"/>
                <w:szCs w:val="15"/>
                <w:color w:val="auto"/>
              </w:rPr>
              <w:t>—​​ ​</w:t>
            </w:r>
          </w:p>
        </w:tc>
        <w:tc>
          <w:tcPr>
            <w:tcW w:w="520" w:type="dxa"/>
            <w:vAlign w:val="bottom"/>
          </w:tcPr>
          <w:p>
            <w:pPr>
              <w:jc w:val="right"/>
              <w:ind w:right="89"/>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58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E5E5E5"/>
          </w:tcPr>
          <w:p>
            <w:pPr>
              <w:ind w:left="40"/>
              <w:spacing w:after="0"/>
              <w:rPr>
                <w:sz w:val="20"/>
                <w:szCs w:val="20"/>
                <w:color w:val="auto"/>
              </w:rPr>
            </w:pPr>
            <w:r>
              <w:rPr>
                <w:rFonts w:ascii="Arial" w:cs="Arial" w:eastAsia="Arial" w:hAnsi="Arial"/>
                <w:sz w:val="15"/>
                <w:szCs w:val="15"/>
                <w:color w:val="auto"/>
              </w:rPr>
              <w:t>​Anthony Blasquez</w:t>
            </w:r>
          </w:p>
        </w:tc>
        <w:tc>
          <w:tcPr>
            <w:tcW w:w="1180" w:type="dxa"/>
            <w:vAlign w:val="bottom"/>
            <w:shd w:val="clear" w:color="auto" w:fill="E5E5E5"/>
          </w:tcPr>
          <w:p>
            <w:pPr>
              <w:ind w:left="920"/>
              <w:spacing w:after="0"/>
              <w:rPr>
                <w:sz w:val="20"/>
                <w:szCs w:val="20"/>
                <w:color w:val="auto"/>
              </w:rPr>
            </w:pPr>
            <w:r>
              <w:rPr>
                <w:rFonts w:ascii="Arial" w:cs="Arial" w:eastAsia="Arial" w:hAnsi="Arial"/>
                <w:sz w:val="15"/>
                <w:szCs w:val="15"/>
                <w:color w:val="auto"/>
              </w:rPr>
              <w:t>​ ​</w:t>
            </w:r>
          </w:p>
        </w:tc>
        <w:tc>
          <w:tcPr>
            <w:tcW w:w="360" w:type="dxa"/>
            <w:vAlign w:val="bottom"/>
            <w:shd w:val="clear" w:color="auto" w:fill="E5E5E5"/>
          </w:tcPr>
          <w:p>
            <w:pPr>
              <w:ind w:lef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E5E5E5"/>
          </w:tcPr>
          <w:p>
            <w:pPr>
              <w:jc w:val="right"/>
              <w:ind w:right="8"/>
              <w:spacing w:after="0"/>
              <w:rPr>
                <w:sz w:val="20"/>
                <w:szCs w:val="20"/>
                <w:color w:val="auto"/>
              </w:rPr>
            </w:pPr>
            <w:r>
              <w:rPr>
                <w:rFonts w:ascii="Arial" w:cs="Arial" w:eastAsia="Arial" w:hAnsi="Arial"/>
                <w:sz w:val="15"/>
                <w:szCs w:val="15"/>
                <w:color w:val="auto"/>
              </w:rPr>
              <w:t>23,687​​ ​</w:t>
            </w:r>
          </w:p>
        </w:tc>
        <w:tc>
          <w:tcPr>
            <w:tcW w:w="11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12,053​​</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3,334​​ ​</w:t>
            </w:r>
          </w:p>
        </w:tc>
        <w:tc>
          <w:tcPr>
            <w:tcW w:w="580" w:type="dxa"/>
            <w:vAlign w:val="bottom"/>
            <w:shd w:val="clear" w:color="auto" w:fill="E5E5E5"/>
          </w:tcPr>
          <w:p>
            <w:pPr>
              <w:jc w:val="right"/>
              <w:ind w:right="128"/>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3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46,407​​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140" w:type="dxa"/>
            <w:vAlign w:val="bottom"/>
          </w:tcPr>
          <w:p>
            <w:pPr>
              <w:spacing w:after="0"/>
              <w:rPr>
                <w:sz w:val="20"/>
                <w:szCs w:val="20"/>
                <w:color w:val="auto"/>
              </w:rPr>
            </w:pPr>
            <w:r>
              <w:rPr>
                <w:rFonts w:ascii="Arial" w:cs="Arial" w:eastAsia="Arial" w:hAnsi="Arial"/>
                <w:sz w:val="15"/>
                <w:szCs w:val="15"/>
                <w:color w:val="auto"/>
              </w:rPr>
              <w:t>Bryan Pechersky</w:t>
            </w:r>
          </w:p>
        </w:tc>
        <w:tc>
          <w:tcPr>
            <w:tcW w:w="1180" w:type="dxa"/>
            <w:vAlign w:val="bottom"/>
            <w:vMerge w:val="restart"/>
          </w:tcPr>
          <w:p>
            <w:pPr>
              <w:ind w:left="920"/>
              <w:spacing w:after="0"/>
              <w:rPr>
                <w:sz w:val="20"/>
                <w:szCs w:val="20"/>
                <w:color w:val="auto"/>
              </w:rPr>
            </w:pPr>
            <w:r>
              <w:rPr>
                <w:rFonts w:ascii="Arial" w:cs="Arial" w:eastAsia="Arial" w:hAnsi="Arial"/>
                <w:sz w:val="15"/>
                <w:szCs w:val="15"/>
                <w:color w:val="auto"/>
              </w:rPr>
              <w:t>​ ​</w:t>
            </w:r>
          </w:p>
        </w:tc>
        <w:tc>
          <w:tcPr>
            <w:tcW w:w="1180" w:type="dxa"/>
            <w:vAlign w:val="bottom"/>
            <w:gridSpan w:val="3"/>
          </w:tcPr>
          <w:p>
            <w:pPr>
              <w:jc w:val="right"/>
              <w:ind w:right="88"/>
              <w:spacing w:after="0" w:line="189" w:lineRule="exact"/>
              <w:rPr>
                <w:sz w:val="20"/>
                <w:szCs w:val="20"/>
                <w:color w:val="auto"/>
              </w:rPr>
            </w:pPr>
            <w:r>
              <w:rPr>
                <w:rFonts w:ascii="Arial" w:cs="Arial" w:eastAsia="Arial" w:hAnsi="Arial"/>
                <w:sz w:val="15"/>
                <w:szCs w:val="15"/>
                <w:color w:val="auto"/>
              </w:rPr>
              <w:t>$    30,694</w:t>
            </w:r>
            <w:r>
              <w:rPr>
                <w:rFonts w:ascii="Arial" w:cs="Arial" w:eastAsia="Arial" w:hAnsi="Arial"/>
                <w:sz w:val="19"/>
                <w:szCs w:val="19"/>
                <w:color w:val="auto"/>
                <w:vertAlign w:val="superscript"/>
              </w:rPr>
              <w:t>(4)</w:t>
            </w:r>
          </w:p>
        </w:tc>
        <w:tc>
          <w:tcPr>
            <w:tcW w:w="520" w:type="dxa"/>
            <w:vAlign w:val="bottom"/>
          </w:tcPr>
          <w:p>
            <w:pPr>
              <w:jc w:val="right"/>
              <w:ind w:right="89"/>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2"/>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21,264</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58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51"/>
              <w:spacing w:after="0"/>
              <w:rPr>
                <w:sz w:val="20"/>
                <w:szCs w:val="20"/>
                <w:color w:val="auto"/>
              </w:rPr>
            </w:pPr>
            <w:r>
              <w:rPr>
                <w:rFonts w:ascii="Arial" w:cs="Arial" w:eastAsia="Arial" w:hAnsi="Arial"/>
                <w:sz w:val="15"/>
                <w:szCs w:val="15"/>
                <w:color w:val="auto"/>
              </w:rPr>
              <w:t>155,825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auto"/>
            </w:tcBorders>
            <w:vMerge w:val="continue"/>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360" w:type="dxa"/>
            <w:vAlign w:val="bottom"/>
            <w:tcBorders>
              <w:bottom w:val="single" w:sz="8" w:color="auto"/>
            </w:tcBorders>
          </w:tcPr>
          <w:p>
            <w:pPr>
              <w:ind w:left="160"/>
              <w:spacing w:after="0" w:line="54" w:lineRule="exact"/>
              <w:rPr>
                <w:sz w:val="20"/>
                <w:szCs w:val="20"/>
                <w:color w:val="auto"/>
              </w:rPr>
            </w:pPr>
            <w:r>
              <w:rPr>
                <w:rFonts w:ascii="Arial" w:cs="Arial" w:eastAsia="Arial" w:hAnsi="Arial"/>
                <w:sz w:val="5"/>
                <w:szCs w:val="5"/>
                <w:color w:val="auto"/>
              </w:rPr>
              <w:t>​</w:t>
            </w: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jc w:val="right"/>
              <w:ind w:right="8"/>
              <w:spacing w:after="0" w:line="54" w:lineRule="exact"/>
              <w:rPr>
                <w:sz w:val="20"/>
                <w:szCs w:val="20"/>
                <w:color w:val="auto"/>
              </w:rPr>
            </w:pPr>
            <w:r>
              <w:rPr>
                <w:rFonts w:ascii="Arial" w:cs="Arial" w:eastAsia="Arial" w:hAnsi="Arial"/>
                <w:sz w:val="5"/>
                <w:szCs w:val="5"/>
                <w:color w:val="auto"/>
              </w:rPr>
              <w:t>​​ ​</w:t>
            </w:r>
          </w:p>
        </w:tc>
        <w:tc>
          <w:tcPr>
            <w:tcW w:w="520" w:type="dxa"/>
            <w:vAlign w:val="bottom"/>
            <w:tcBorders>
              <w:bottom w:val="single" w:sz="8" w:color="auto"/>
            </w:tcBorders>
          </w:tcPr>
          <w:p>
            <w:pPr>
              <w:jc w:val="right"/>
              <w:ind w:right="149"/>
              <w:spacing w:after="0" w:line="54" w:lineRule="exact"/>
              <w:rPr>
                <w:sz w:val="20"/>
                <w:szCs w:val="20"/>
                <w:color w:val="auto"/>
              </w:rPr>
            </w:pPr>
            <w:r>
              <w:rPr>
                <w:rFonts w:ascii="Arial" w:cs="Arial" w:eastAsia="Arial" w:hAnsi="Arial"/>
                <w:sz w:val="5"/>
                <w:szCs w:val="5"/>
                <w:color w:val="auto"/>
              </w:rPr>
              <w:t>​</w:t>
            </w:r>
          </w:p>
        </w:tc>
        <w:tc>
          <w:tcPr>
            <w:tcW w:w="58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5"/>
                <w:szCs w:val="5"/>
                <w:color w:val="auto"/>
              </w:rPr>
              <w:t>​​</w:t>
            </w:r>
          </w:p>
        </w:tc>
        <w:tc>
          <w:tcPr>
            <w:tcW w:w="18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5"/>
                <w:szCs w:val="5"/>
                <w:color w:val="auto"/>
              </w:rPr>
              <w:t>​​</w:t>
            </w: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580" w:type="dxa"/>
            <w:vAlign w:val="bottom"/>
            <w:tcBorders>
              <w:bottom w:val="single" w:sz="8" w:color="auto"/>
            </w:tcBorders>
          </w:tcPr>
          <w:p>
            <w:pPr>
              <w:jc w:val="right"/>
              <w:ind w:right="188"/>
              <w:spacing w:after="0" w:line="54" w:lineRule="exact"/>
              <w:rPr>
                <w:sz w:val="20"/>
                <w:szCs w:val="20"/>
                <w:color w:val="auto"/>
              </w:rPr>
            </w:pPr>
            <w:r>
              <w:rPr>
                <w:rFonts w:ascii="Arial" w:cs="Arial" w:eastAsia="Arial" w:hAnsi="Arial"/>
                <w:sz w:val="5"/>
                <w:szCs w:val="5"/>
                <w:color w:val="auto"/>
              </w:rPr>
              <w:t>​</w:t>
            </w:r>
          </w:p>
        </w:tc>
        <w:tc>
          <w:tcPr>
            <w:tcW w:w="600" w:type="dxa"/>
            <w:vAlign w:val="bottom"/>
            <w:tcBorders>
              <w:bottom w:val="single" w:sz="8" w:color="auto"/>
            </w:tcBorders>
            <w:gridSpan w:val="2"/>
          </w:tcPr>
          <w:p>
            <w:pPr>
              <w:jc w:val="right"/>
              <w:spacing w:after="0" w:line="54" w:lineRule="exact"/>
              <w:rPr>
                <w:sz w:val="20"/>
                <w:szCs w:val="20"/>
                <w:color w:val="auto"/>
              </w:rPr>
            </w:pPr>
            <w:r>
              <w:rPr>
                <w:rFonts w:ascii="Arial" w:cs="Arial" w:eastAsia="Arial" w:hAnsi="Arial"/>
                <w:sz w:val="5"/>
                <w:szCs w:val="5"/>
                <w:color w:val="auto"/>
              </w:rPr>
              <w:t>​​ ​</w:t>
            </w:r>
          </w:p>
        </w:tc>
        <w:tc>
          <w:tcPr>
            <w:tcW w:w="320" w:type="dxa"/>
            <w:vAlign w:val="bottom"/>
            <w:tcBorders>
              <w:bottom w:val="single" w:sz="8" w:color="auto"/>
            </w:tcBorders>
          </w:tcPr>
          <w:p>
            <w:pPr>
              <w:jc w:val="right"/>
              <w:ind w:right="50"/>
              <w:spacing w:after="0" w:line="54" w:lineRule="exact"/>
              <w:rPr>
                <w:sz w:val="20"/>
                <w:szCs w:val="20"/>
                <w:color w:val="auto"/>
              </w:rPr>
            </w:pPr>
            <w:r>
              <w:rPr>
                <w:rFonts w:ascii="Arial" w:cs="Arial" w:eastAsia="Arial" w:hAnsi="Arial"/>
                <w:sz w:val="5"/>
                <w:szCs w:val="5"/>
                <w:color w:val="auto"/>
              </w:rPr>
              <w:t>​</w:t>
            </w:r>
          </w:p>
        </w:tc>
        <w:tc>
          <w:tcPr>
            <w:tcW w:w="78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120" w:right="40" w:hanging="358"/>
        <w:spacing w:after="0" w:line="271" w:lineRule="auto"/>
        <w:tabs>
          <w:tab w:leader="none" w:pos="112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The entirety of the executive contributions and registrant contributions are reported in the “Summary Compensation Table” above as compensation of the named executive officer for the year ended December 31, 2025.</w:t>
      </w:r>
    </w:p>
    <w:p>
      <w:pPr>
        <w:jc w:val="both"/>
        <w:ind w:left="1120" w:right="40" w:hanging="358"/>
        <w:spacing w:after="0" w:line="295" w:lineRule="auto"/>
        <w:tabs>
          <w:tab w:leader="none" w:pos="112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matching contributions or other allocations made by us under our Deferred Compensation Plan which amount was also reported as compensation in the table appearing in the section “Compensation Tables — Summary Compensation Table” above in this proxy statement.</w:t>
      </w:r>
    </w:p>
    <w:p>
      <w:pPr>
        <w:spacing w:after="0" w:line="144" w:lineRule="exact"/>
        <w:rPr>
          <w:rFonts w:ascii="Arial" w:cs="Arial" w:eastAsia="Arial" w:hAnsi="Arial"/>
          <w:sz w:val="14"/>
          <w:szCs w:val="14"/>
          <w:i w:val="1"/>
          <w:iCs w:val="1"/>
          <w:color w:val="auto"/>
        </w:rPr>
      </w:pPr>
    </w:p>
    <w:p>
      <w:pPr>
        <w:jc w:val="both"/>
        <w:ind w:left="1120" w:right="40" w:hanging="358"/>
        <w:spacing w:after="0" w:line="271" w:lineRule="auto"/>
        <w:tabs>
          <w:tab w:leader="none" w:pos="112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Of these amounts, the following aggregate amounts are reported in the “Summary Compensation Table” above as compensation of the named executive officer for the years ended December 31, 2025, 2024 and 2023, respectively: Mr. Fadel  — $0, $33,000 and $635, Mr. Blasquez — $12,053, $0 and $0, Mr. Pechersky — $0, $0 and $0. Messrs. Karam, Khouri, and Montrone,  are not participants in the Deferred Compensation Plan.</w:t>
      </w:r>
    </w:p>
    <w:p>
      <w:pPr>
        <w:ind w:left="1120" w:right="40" w:hanging="358"/>
        <w:spacing w:after="0" w:line="284" w:lineRule="auto"/>
        <w:tabs>
          <w:tab w:leader="none" w:pos="112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All matching contributions were made to the 401(k) Retirement Savings Plan in respect of Mr. Pechersky’s contributions to the deferred compensation plan in 2025.</w:t>
      </w:r>
    </w:p>
    <w:p>
      <w:pPr>
        <w:spacing w:after="0" w:line="200" w:lineRule="exact"/>
        <w:rPr>
          <w:sz w:val="20"/>
          <w:szCs w:val="20"/>
          <w:color w:val="auto"/>
        </w:rPr>
      </w:pPr>
    </w:p>
    <w:p>
      <w:pPr>
        <w:spacing w:after="0" w:line="228"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TABLES</w:t>
      </w:r>
    </w:p>
    <w:p>
      <w:pPr>
        <w:spacing w:after="0" w:line="35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No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56"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We do not sponsor or maintain any plans that provide for specified retirement payments or benefits, such as tax-qualified defined benefit plans or supplemental executive retirement plans.</w:t>
      </w:r>
    </w:p>
    <w:p>
      <w:pPr>
        <w:spacing w:after="0" w:line="159" w:lineRule="exact"/>
        <w:rPr>
          <w:sz w:val="20"/>
          <w:szCs w:val="20"/>
          <w:color w:val="auto"/>
        </w:rPr>
      </w:pPr>
    </w:p>
    <w:p>
      <w:pPr>
        <w:ind w:left="760" w:right="580"/>
        <w:spacing w:after="0" w:line="287" w:lineRule="auto"/>
        <w:rPr>
          <w:sz w:val="20"/>
          <w:szCs w:val="20"/>
          <w:color w:val="auto"/>
        </w:rPr>
      </w:pPr>
      <w:r>
        <w:rPr>
          <w:rFonts w:ascii="Arial" w:cs="Arial" w:eastAsia="Arial" w:hAnsi="Arial"/>
          <w:sz w:val="25"/>
          <w:szCs w:val="25"/>
          <w:b w:val="1"/>
          <w:bCs w:val="1"/>
          <w:color w:val="auto"/>
        </w:rPr>
        <w:t>Potential Payments and Benefits Upon Termination Without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-34925</wp:posOffset>
            </wp:positionV>
            <wp:extent cx="58375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40" w:lineRule="exact"/>
        <w:rPr>
          <w:sz w:val="20"/>
          <w:szCs w:val="20"/>
          <w:color w:val="auto"/>
        </w:rPr>
      </w:pPr>
    </w:p>
    <w:p>
      <w:pPr>
        <w:jc w:val="both"/>
        <w:ind w:left="760"/>
        <w:spacing w:after="0" w:line="283" w:lineRule="auto"/>
        <w:rPr>
          <w:sz w:val="20"/>
          <w:szCs w:val="20"/>
          <w:color w:val="auto"/>
        </w:rPr>
      </w:pPr>
      <w:r>
        <w:rPr>
          <w:rFonts w:ascii="Arial" w:cs="Arial" w:eastAsia="Arial" w:hAnsi="Arial"/>
          <w:sz w:val="16"/>
          <w:szCs w:val="16"/>
          <w:color w:val="auto"/>
        </w:rPr>
        <w:t>The following table provides quantitative disclosure of the estimated payments that would be made under the employment or severance agreements to our named executive officers, as well as the amounts our named executive officers would receive upon the exercise of the equity and cash awards held by them on December 31, 2025, the last day of our fiscal year 2025, assuming that:</w:t>
      </w:r>
    </w:p>
    <w:p>
      <w:pPr>
        <w:spacing w:after="0" w:line="91" w:lineRule="exact"/>
        <w:rPr>
          <w:sz w:val="20"/>
          <w:szCs w:val="20"/>
          <w:color w:val="auto"/>
        </w:rPr>
      </w:pPr>
    </w:p>
    <w:p>
      <w:pPr>
        <w:ind w:left="940" w:hanging="178"/>
        <w:spacing w:after="0" w:line="304"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named executive officer’s employment with us was terminated on December 31, 2025, and was not in connection with an event which constituted a “change in control” or an “exchange transaction” under any agreement or plan described above;</w:t>
      </w:r>
    </w:p>
    <w:p>
      <w:pPr>
        <w:spacing w:after="0" w:line="60"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payable to each named executive officer would not subject such person to excise tax under Section 4999 of the Code and the Company would not be denied a deduction under Section 280G of the Code;</w:t>
      </w:r>
    </w:p>
    <w:p>
      <w:pPr>
        <w:spacing w:after="0" w:line="60"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base salary earned by each named executive officer for such named executive officer’s services to us through December 31, 2025 has been fully paid to such named executive officer;</w:t>
      </w:r>
    </w:p>
    <w:p>
      <w:pPr>
        <w:spacing w:after="0" w:line="60" w:lineRule="exact"/>
        <w:rPr>
          <w:rFonts w:ascii="Arial" w:cs="Arial" w:eastAsia="Arial" w:hAnsi="Arial"/>
          <w:sz w:val="16"/>
          <w:szCs w:val="16"/>
          <w:color w:val="auto"/>
        </w:rPr>
      </w:pPr>
    </w:p>
    <w:p>
      <w:pPr>
        <w:ind w:left="940" w:right="20" w:hanging="178"/>
        <w:spacing w:after="0" w:line="286"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Board determined that the annual bonus for 2025 that would have been earned by each of Messrs. Karam, Khouri, Montrone, Blasquez and Pechersky was equal to the actual bonus awarded to such named executive officer for 2025;</w:t>
      </w:r>
    </w:p>
    <w:p>
      <w:pPr>
        <w:spacing w:after="0" w:line="88" w:lineRule="exact"/>
        <w:rPr>
          <w:rFonts w:ascii="Arial" w:cs="Arial" w:eastAsia="Arial" w:hAnsi="Arial"/>
          <w:sz w:val="16"/>
          <w:szCs w:val="16"/>
          <w:color w:val="auto"/>
        </w:rPr>
      </w:pPr>
    </w:p>
    <w:p>
      <w:pPr>
        <w:jc w:val="both"/>
        <w:ind w:left="940" w:hanging="178"/>
        <w:spacing w:after="0" w:line="271"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extent not otherwise terminated in connection with the named executive officer’s termination, each of our named executive officers sold the shares of our common stock underlying their previously unvested performance stock units, at the target level of performance, and restricted stock units at the closing price for shares of our common stock on the Nasdaq Global Select Market on December 31, 2025, which was $17.56;</w:t>
      </w:r>
    </w:p>
    <w:p>
      <w:pPr>
        <w:spacing w:after="0" w:line="86" w:lineRule="exact"/>
        <w:rPr>
          <w:rFonts w:ascii="Arial" w:cs="Arial" w:eastAsia="Arial" w:hAnsi="Arial"/>
          <w:sz w:val="16"/>
          <w:szCs w:val="16"/>
          <w:color w:val="auto"/>
        </w:rPr>
      </w:pPr>
    </w:p>
    <w:p>
      <w:pPr>
        <w:ind w:left="940" w:right="20" w:hanging="178"/>
        <w:spacing w:after="0" w:line="304"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outstanding equity-based awards held by our named executive officers that vested prior to December 31, 2025 were exercised and distributed on December 31, 2025; and</w:t>
      </w:r>
    </w:p>
    <w:p>
      <w:pPr>
        <w:spacing w:after="0" w:line="60" w:lineRule="exact"/>
        <w:rPr>
          <w:rFonts w:ascii="Arial" w:cs="Arial" w:eastAsia="Arial" w:hAnsi="Arial"/>
          <w:sz w:val="16"/>
          <w:szCs w:val="16"/>
          <w:color w:val="auto"/>
        </w:rPr>
      </w:pPr>
    </w:p>
    <w:p>
      <w:pPr>
        <w:ind w:left="940" w:right="20" w:hanging="178"/>
        <w:spacing w:after="0" w:line="286"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 current named executive officer is retirement-eligible (defined as attaining age 60 with at least five years of continuous service) for the outstanding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52</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Continued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Cash</w:t>
            </w:r>
          </w:p>
        </w:tc>
        <w:tc>
          <w:tcPr>
            <w:tcW w:w="2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5"/>
                <w:szCs w:val="15"/>
                <w:b w:val="1"/>
                <w:bCs w:val="1"/>
                <w:color w:val="auto"/>
                <w:w w:val="99"/>
              </w:rPr>
              <w:t>Continuation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rPr>
              <w:t>Acceleration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Vesting of</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b w:val="1"/>
                <w:bCs w:val="1"/>
                <w:color w:val="auto"/>
              </w:rPr>
              <w:t>Severance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rPr>
              <w:t>of Medical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rPr>
              <w:t>of Outstanding</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b w:val="1"/>
                <w:bCs w:val="1"/>
                <w:color w:val="auto"/>
              </w:rPr>
              <w:t>Outstanding</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b w:val="1"/>
                <w:bCs w:val="1"/>
                <w:color w:val="auto"/>
              </w:rPr>
              <w:t>Termination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80"/>
              <w:spacing w:after="0" w:line="167" w:lineRule="exact"/>
              <w:rPr>
                <w:sz w:val="20"/>
                <w:szCs w:val="20"/>
                <w:color w:val="auto"/>
              </w:rPr>
            </w:pPr>
            <w:r>
              <w:rPr>
                <w:rFonts w:ascii="Arial" w:cs="Arial" w:eastAsia="Arial" w:hAnsi="Arial"/>
                <w:sz w:val="15"/>
                <w:szCs w:val="15"/>
                <w:b w:val="1"/>
                <w:bCs w:val="1"/>
                <w:color w:val="auto"/>
              </w:rPr>
              <w:t>Name</w:t>
            </w:r>
          </w:p>
        </w:tc>
        <w:tc>
          <w:tcPr>
            <w:tcW w:w="580" w:type="dxa"/>
            <w:vAlign w:val="bottom"/>
            <w:vMerge w:val="restart"/>
          </w:tcPr>
          <w:p>
            <w:pPr>
              <w:jc w:val="right"/>
              <w:ind w:right="152"/>
              <w:spacing w:after="0"/>
              <w:rPr>
                <w:sz w:val="20"/>
                <w:szCs w:val="20"/>
                <w:color w:val="auto"/>
              </w:rPr>
            </w:pPr>
            <w:r>
              <w:rPr>
                <w:rFonts w:ascii="Arial" w:cs="Arial" w:eastAsia="Arial" w:hAnsi="Arial"/>
                <w:sz w:val="15"/>
                <w:szCs w:val="15"/>
                <w:b w:val="1"/>
                <w:bCs w:val="1"/>
                <w:color w:val="auto"/>
              </w:rPr>
              <w:t>​ ​</w:t>
            </w:r>
          </w:p>
        </w:tc>
        <w:tc>
          <w:tcPr>
            <w:tcW w:w="62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Payout</w:t>
            </w:r>
          </w:p>
        </w:tc>
        <w:tc>
          <w:tcPr>
            <w:tcW w:w="3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 ​</w:t>
            </w:r>
          </w:p>
        </w:tc>
        <w:tc>
          <w:tcPr>
            <w:tcW w:w="8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Benefits</w:t>
            </w:r>
            <w:r>
              <w:rPr>
                <w:rFonts w:ascii="Arial" w:cs="Arial" w:eastAsia="Arial" w:hAnsi="Arial"/>
                <w:sz w:val="19"/>
                <w:szCs w:val="19"/>
                <w:b w:val="1"/>
                <w:bCs w:val="1"/>
                <w:color w:val="auto"/>
                <w:vertAlign w:val="superscript"/>
              </w:rPr>
              <w:t>(1)</w:t>
            </w:r>
          </w:p>
        </w:tc>
        <w:tc>
          <w:tcPr>
            <w:tcW w:w="100" w:type="dxa"/>
            <w:vAlign w:val="bottom"/>
          </w:tcPr>
          <w:p>
            <w:pPr>
              <w:spacing w:after="0"/>
              <w:rPr>
                <w:sz w:val="14"/>
                <w:szCs w:val="14"/>
                <w:color w:val="auto"/>
              </w:rPr>
            </w:pPr>
          </w:p>
        </w:tc>
        <w:tc>
          <w:tcPr>
            <w:tcW w:w="540" w:type="dxa"/>
            <w:vAlign w:val="bottom"/>
            <w:gridSpan w:val="2"/>
            <w:vMerge w:val="restart"/>
          </w:tcPr>
          <w:p>
            <w:pPr>
              <w:jc w:val="center"/>
              <w:ind w:right="332"/>
              <w:spacing w:after="0"/>
              <w:rPr>
                <w:sz w:val="20"/>
                <w:szCs w:val="20"/>
                <w:color w:val="auto"/>
              </w:rPr>
            </w:pPr>
            <w:r>
              <w:rPr>
                <w:rFonts w:ascii="Arial" w:cs="Arial" w:eastAsia="Arial" w:hAnsi="Arial"/>
                <w:sz w:val="15"/>
                <w:szCs w:val="15"/>
                <w:b w:val="1"/>
                <w:bCs w:val="1"/>
                <w:color w:val="auto"/>
              </w:rPr>
              <w:t>​ ​</w:t>
            </w:r>
          </w:p>
        </w:tc>
        <w:tc>
          <w:tcPr>
            <w:tcW w:w="6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w w:val="94"/>
              </w:rPr>
              <w:t>Awards</w:t>
            </w:r>
            <w:r>
              <w:rPr>
                <w:rFonts w:ascii="Arial" w:cs="Arial" w:eastAsia="Arial" w:hAnsi="Arial"/>
                <w:sz w:val="19"/>
                <w:szCs w:val="19"/>
                <w:b w:val="1"/>
                <w:bCs w:val="1"/>
                <w:color w:val="auto"/>
                <w:w w:val="94"/>
                <w:vertAlign w:val="superscript"/>
              </w:rPr>
              <w:t>(2)</w:t>
            </w:r>
          </w:p>
        </w:tc>
        <w:tc>
          <w:tcPr>
            <w:tcW w:w="100" w:type="dxa"/>
            <w:vAlign w:val="bottom"/>
          </w:tcPr>
          <w:p>
            <w:pPr>
              <w:spacing w:after="0"/>
              <w:rPr>
                <w:sz w:val="14"/>
                <w:szCs w:val="14"/>
                <w:color w:val="auto"/>
              </w:rPr>
            </w:pPr>
          </w:p>
        </w:tc>
        <w:tc>
          <w:tcPr>
            <w:tcW w:w="1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w:t>
            </w:r>
          </w:p>
        </w:tc>
        <w:tc>
          <w:tcPr>
            <w:tcW w:w="86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19"/>
                <w:szCs w:val="19"/>
                <w:b w:val="1"/>
                <w:bCs w:val="1"/>
                <w:color w:val="auto"/>
                <w:vertAlign w:val="superscript"/>
              </w:rPr>
              <w:t>(3)</w:t>
            </w:r>
          </w:p>
        </w:tc>
        <w:tc>
          <w:tcPr>
            <w:tcW w:w="10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Arial" w:cs="Arial" w:eastAsia="Arial" w:hAnsi="Arial"/>
                <w:sz w:val="15"/>
                <w:szCs w:val="15"/>
                <w:b w:val="1"/>
                <w:bCs w:val="1"/>
                <w:color w:val="auto"/>
              </w:rPr>
              <w:t>​ ​</w:t>
            </w:r>
          </w:p>
        </w:tc>
        <w:tc>
          <w:tcPr>
            <w:tcW w:w="66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Benefits</w:t>
            </w:r>
          </w:p>
        </w:tc>
        <w:tc>
          <w:tcPr>
            <w:tcW w:w="12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3160" w:type="dxa"/>
            <w:vAlign w:val="bottom"/>
            <w:tcBorders>
              <w:bottom w:val="single" w:sz="8" w:color="auto"/>
            </w:tcBorders>
          </w:tcPr>
          <w:p>
            <w:pPr>
              <w:ind w:left="80"/>
              <w:spacing w:after="0" w:line="68" w:lineRule="exact"/>
              <w:rPr>
                <w:sz w:val="20"/>
                <w:szCs w:val="20"/>
                <w:color w:val="auto"/>
              </w:rPr>
            </w:pPr>
            <w:r>
              <w:rPr>
                <w:rFonts w:ascii="Arial" w:cs="Arial" w:eastAsia="Arial" w:hAnsi="Arial"/>
                <w:sz w:val="7"/>
                <w:szCs w:val="7"/>
                <w:b w:val="1"/>
                <w:bCs w:val="1"/>
                <w:color w:val="auto"/>
              </w:rPr>
              <w:t>​</w:t>
            </w:r>
          </w:p>
        </w:tc>
        <w:tc>
          <w:tcPr>
            <w:tcW w:w="58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2"/>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E5E5E5"/>
          </w:tcPr>
          <w:p>
            <w:pPr>
              <w:ind w:left="40"/>
              <w:spacing w:after="0"/>
              <w:rPr>
                <w:sz w:val="20"/>
                <w:szCs w:val="20"/>
                <w:color w:val="auto"/>
              </w:rPr>
            </w:pPr>
            <w:r>
              <w:rPr>
                <w:rFonts w:ascii="Arial" w:cs="Arial" w:eastAsia="Arial" w:hAnsi="Arial"/>
                <w:sz w:val="15"/>
                <w:szCs w:val="15"/>
                <w:b w:val="1"/>
                <w:bCs w:val="1"/>
                <w:color w:val="auto"/>
              </w:rPr>
              <w:t>​Mitchell Fadel</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5"/>
                <w:szCs w:val="15"/>
                <w:b w:val="1"/>
                <w:bCs w:val="1"/>
                <w:color w:val="auto"/>
              </w:rPr>
              <w:t>​ ​​ ​</w:t>
            </w:r>
          </w:p>
        </w:tc>
        <w:tc>
          <w:tcPr>
            <w:tcW w:w="6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 ​</w:t>
            </w:r>
          </w:p>
        </w:tc>
        <w:tc>
          <w:tcPr>
            <w:tcW w:w="120" w:type="dxa"/>
            <w:vAlign w:val="bottom"/>
            <w:shd w:val="clear" w:color="auto" w:fill="E5E5E5"/>
          </w:tcPr>
          <w:p>
            <w:pPr>
              <w:spacing w:after="0"/>
              <w:rPr>
                <w:sz w:val="19"/>
                <w:szCs w:val="19"/>
                <w:color w:val="auto"/>
              </w:rPr>
            </w:pPr>
          </w:p>
        </w:tc>
        <w:tc>
          <w:tcPr>
            <w:tcW w:w="500" w:type="dxa"/>
            <w:vAlign w:val="bottom"/>
            <w:shd w:val="clear" w:color="auto" w:fill="E5E5E5"/>
          </w:tcPr>
          <w:p>
            <w:pPr>
              <w:ind w:left="180"/>
              <w:spacing w:after="0"/>
              <w:rPr>
                <w:sz w:val="20"/>
                <w:szCs w:val="20"/>
                <w:color w:val="auto"/>
              </w:rPr>
            </w:pPr>
            <w:r>
              <w:rPr>
                <w:rFonts w:ascii="Arial" w:cs="Arial" w:eastAsia="Arial" w:hAnsi="Arial"/>
                <w:sz w:val="15"/>
                <w:szCs w:val="15"/>
                <w:b w:val="1"/>
                <w:bCs w:val="1"/>
                <w:color w:val="auto"/>
              </w:rPr>
              <w:t>​ ​</w:t>
            </w:r>
          </w:p>
        </w:tc>
        <w:tc>
          <w:tcPr>
            <w:tcW w:w="3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E5E5E5"/>
          </w:tcPr>
          <w:p>
            <w:pPr>
              <w:ind w:left="240"/>
              <w:spacing w:after="0"/>
              <w:rPr>
                <w:sz w:val="20"/>
                <w:szCs w:val="20"/>
                <w:color w:val="auto"/>
              </w:rPr>
            </w:pPr>
            <w:r>
              <w:rPr>
                <w:rFonts w:ascii="Arial" w:cs="Arial" w:eastAsia="Arial" w:hAnsi="Arial"/>
                <w:sz w:val="15"/>
                <w:szCs w:val="15"/>
                <w:b w:val="1"/>
                <w:bCs w:val="1"/>
                <w:color w:val="auto"/>
              </w:rPr>
              <w:t>​ ​</w:t>
            </w: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 ​</w:t>
            </w:r>
          </w:p>
        </w:tc>
        <w:tc>
          <w:tcPr>
            <w:tcW w:w="10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 ​ ​</w:t>
            </w:r>
          </w:p>
        </w:tc>
        <w:tc>
          <w:tcPr>
            <w:tcW w:w="6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80"/>
              <w:spacing w:after="0" w:line="175" w:lineRule="exact"/>
              <w:rPr>
                <w:sz w:val="20"/>
                <w:szCs w:val="20"/>
                <w:color w:val="auto"/>
              </w:rPr>
            </w:pPr>
            <w:r>
              <w:rPr>
                <w:rFonts w:ascii="Arial" w:cs="Arial" w:eastAsia="Arial" w:hAnsi="Arial"/>
                <w:sz w:val="15"/>
                <w:szCs w:val="15"/>
                <w:color w:val="auto"/>
              </w:rPr>
              <w:t>Termination due to Mr. Fadel’s retirement</w:t>
            </w:r>
            <w:r>
              <w:rPr>
                <w:rFonts w:ascii="Arial" w:cs="Arial" w:eastAsia="Arial" w:hAnsi="Arial"/>
                <w:sz w:val="19"/>
                <w:szCs w:val="19"/>
                <w:color w:val="auto"/>
                <w:vertAlign w:val="superscript"/>
              </w:rPr>
              <w:t>(4)</w:t>
            </w:r>
          </w:p>
        </w:tc>
        <w:tc>
          <w:tcPr>
            <w:tcW w:w="580" w:type="dxa"/>
            <w:vAlign w:val="bottom"/>
          </w:tcPr>
          <w:p>
            <w:pPr>
              <w:jc w:val="right"/>
              <w:ind w:right="72"/>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5"/>
                <w:szCs w:val="15"/>
                <w:color w:val="auto"/>
              </w:rPr>
            </w:pPr>
          </w:p>
        </w:tc>
        <w:tc>
          <w:tcPr>
            <w:tcW w:w="500" w:type="dxa"/>
            <w:vAlign w:val="bottom"/>
          </w:tcPr>
          <w:p>
            <w:pPr>
              <w:jc w:val="right"/>
              <w:ind w:right="152"/>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2"/>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20"/>
                <w:szCs w:val="20"/>
                <w:color w:val="auto"/>
              </w:rPr>
            </w:pPr>
            <w:r>
              <w:rPr>
                <w:rFonts w:ascii="Arial" w:cs="Arial" w:eastAsia="Arial" w:hAnsi="Arial"/>
                <w:sz w:val="15"/>
                <w:szCs w:val="15"/>
                <w:color w:val="auto"/>
              </w:rPr>
              <w:t>$  4,575,565</w:t>
            </w:r>
          </w:p>
        </w:tc>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  4,575,565</w:t>
            </w: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160" w:type="dxa"/>
            <w:vAlign w:val="bottom"/>
            <w:tcBorders>
              <w:bottom w:val="single" w:sz="8" w:color="auto"/>
            </w:tcBorders>
          </w:tcPr>
          <w:p>
            <w:pPr>
              <w:ind w:left="40"/>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auto"/>
            </w:tcBorders>
          </w:tcPr>
          <w:p>
            <w:pPr>
              <w:jc w:val="right"/>
              <w:ind w:right="132"/>
              <w:spacing w:after="0" w:line="68" w:lineRule="exact"/>
              <w:rPr>
                <w:sz w:val="20"/>
                <w:szCs w:val="20"/>
                <w:color w:val="auto"/>
              </w:rPr>
            </w:pPr>
            <w:r>
              <w:rPr>
                <w:rFonts w:ascii="Arial" w:cs="Arial" w:eastAsia="Arial" w:hAnsi="Arial"/>
                <w:sz w:val="7"/>
                <w:szCs w:val="7"/>
                <w:color w:val="auto"/>
              </w:rPr>
              <w:t>​ ​​</w:t>
            </w: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ind w:left="180"/>
              <w:spacing w:after="0" w:line="68" w:lineRule="exact"/>
              <w:rPr>
                <w:sz w:val="20"/>
                <w:szCs w:val="20"/>
                <w:color w:val="auto"/>
              </w:rPr>
            </w:pPr>
            <w:r>
              <w:rPr>
                <w:rFonts w:ascii="Arial" w:cs="Arial" w:eastAsia="Arial" w:hAnsi="Arial"/>
                <w:sz w:val="7"/>
                <w:szCs w:val="7"/>
                <w:color w:val="auto"/>
              </w:rPr>
              <w:t>​</w:t>
            </w: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tcPr>
          <w:p>
            <w:pPr>
              <w:ind w:left="24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ind w:left="60"/>
              <w:spacing w:after="0" w:line="68" w:lineRule="exact"/>
              <w:rPr>
                <w:sz w:val="20"/>
                <w:szCs w:val="20"/>
                <w:color w:val="auto"/>
              </w:rPr>
            </w:pPr>
            <w:r>
              <w:rPr>
                <w:rFonts w:ascii="Arial" w:cs="Arial" w:eastAsia="Arial" w:hAnsi="Arial"/>
                <w:sz w:val="7"/>
                <w:szCs w:val="7"/>
                <w:color w:val="auto"/>
              </w:rPr>
              <w:t>​ ​</w:t>
            </w: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3755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37555" cy="16319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35"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​Fahmi Karam</w:t>
      </w:r>
    </w:p>
    <w:p>
      <w:pPr>
        <w:spacing w:after="0" w:line="73" w:lineRule="exact"/>
        <w:rPr>
          <w:sz w:val="20"/>
          <w:szCs w:val="20"/>
          <w:color w:val="auto"/>
        </w:rPr>
      </w:pPr>
    </w:p>
    <w:p>
      <w:pPr>
        <w:ind w:left="800" w:right="440" w:firstLine="41"/>
        <w:spacing w:after="0" w:line="300" w:lineRule="auto"/>
        <w:rPr>
          <w:sz w:val="20"/>
          <w:szCs w:val="20"/>
          <w:color w:val="auto"/>
        </w:rPr>
      </w:pPr>
      <w:r>
        <w:rPr>
          <w:rFonts w:ascii="Arial" w:cs="Arial" w:eastAsia="Arial" w:hAnsi="Arial"/>
          <w:sz w:val="15"/>
          <w:szCs w:val="15"/>
          <w:color w:val="auto"/>
        </w:rPr>
        <w:t>Termination by Us without “Cause” or by ​ Mr. Karam for “Good Reason”</w:t>
      </w:r>
    </w:p>
    <w:p>
      <w:pPr>
        <w:spacing w:after="0" w:line="1" w:lineRule="exact"/>
        <w:rPr>
          <w:sz w:val="20"/>
          <w:szCs w:val="20"/>
          <w:color w:val="auto"/>
        </w:rPr>
      </w:pPr>
    </w:p>
    <w:p>
      <w:pPr>
        <w:ind w:left="800" w:firstLine="41"/>
        <w:spacing w:after="0" w:line="300" w:lineRule="auto"/>
        <w:rPr>
          <w:sz w:val="20"/>
          <w:szCs w:val="20"/>
          <w:color w:val="auto"/>
        </w:rPr>
      </w:pPr>
      <w:r>
        <w:rPr>
          <w:rFonts w:ascii="Arial" w:cs="Arial" w:eastAsia="Arial" w:hAnsi="Arial"/>
          <w:sz w:val="15"/>
          <w:szCs w:val="15"/>
          <w:color w:val="auto"/>
        </w:rPr>
        <w:t>Termination by Us for “Cause” or by Mr. Karam ​ without “Good Reason”</w:t>
      </w:r>
    </w:p>
    <w:p>
      <w:pPr>
        <w:spacing w:after="0" w:line="1" w:lineRule="exact"/>
        <w:rPr>
          <w:sz w:val="20"/>
          <w:szCs w:val="20"/>
          <w:color w:val="auto"/>
        </w:rPr>
      </w:pPr>
    </w:p>
    <w:p>
      <w:pPr>
        <w:ind w:left="800" w:right="240" w:firstLine="41"/>
        <w:spacing w:after="0" w:line="317" w:lineRule="auto"/>
        <w:rPr>
          <w:sz w:val="20"/>
          <w:szCs w:val="20"/>
          <w:color w:val="auto"/>
        </w:rPr>
      </w:pPr>
      <w:r>
        <w:rPr>
          <w:rFonts w:ascii="Arial" w:cs="Arial" w:eastAsia="Arial" w:hAnsi="Arial"/>
          <w:sz w:val="15"/>
          <w:szCs w:val="15"/>
          <w:color w:val="auto"/>
        </w:rPr>
        <w:t>Termination due to Mr. Karam’s disability or ​ death</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20"/>
                <w:szCs w:val="20"/>
                <w:color w:val="auto"/>
              </w:rPr>
            </w:pPr>
            <w:r>
              <w:rPr>
                <w:rFonts w:ascii="Arial" w:cs="Arial" w:eastAsia="Arial" w:hAnsi="Arial"/>
                <w:sz w:val="15"/>
                <w:szCs w:val="15"/>
                <w:b w:val="1"/>
                <w:bCs w:val="1"/>
                <w:color w:val="auto"/>
              </w:rPr>
              <w:t>​ ​​ ​</w:t>
            </w: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rPr>
              <w:t>​​ ​</w:t>
            </w:r>
          </w:p>
        </w:tc>
        <w:tc>
          <w:tcPr>
            <w:tcW w:w="320" w:type="dxa"/>
            <w:vAlign w:val="bottom"/>
          </w:tcPr>
          <w:p>
            <w:pPr>
              <w:ind w:left="160"/>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auto"/>
              </w:rPr>
              <w:t>​​ ​</w:t>
            </w:r>
          </w:p>
        </w:tc>
        <w:tc>
          <w:tcPr>
            <w:tcW w:w="38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 ​ ​</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 ​ ​</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411"/>
        </w:trPr>
        <w:tc>
          <w:tcPr>
            <w:tcW w:w="1360" w:type="dxa"/>
            <w:vAlign w:val="bottom"/>
            <w:gridSpan w:val="2"/>
          </w:tcPr>
          <w:p>
            <w:pPr>
              <w:jc w:val="right"/>
              <w:ind w:right="84"/>
              <w:spacing w:after="0"/>
              <w:rPr>
                <w:sz w:val="20"/>
                <w:szCs w:val="20"/>
                <w:color w:val="auto"/>
              </w:rPr>
            </w:pPr>
            <w:r>
              <w:rPr>
                <w:rFonts w:ascii="Arial" w:cs="Arial" w:eastAsia="Arial" w:hAnsi="Arial"/>
                <w:sz w:val="15"/>
                <w:szCs w:val="15"/>
                <w:color w:val="auto"/>
              </w:rPr>
              <w:t>​ ​​$  6,721,000​​ ​</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color w:val="auto"/>
              </w:rPr>
              <w:t>​$  56,462​​ ​</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271,811​​</w:t>
            </w:r>
          </w:p>
        </w:tc>
        <w:tc>
          <w:tcPr>
            <w:tcW w:w="300" w:type="dxa"/>
            <w:vAlign w:val="bottom"/>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spacing w:after="0"/>
              <w:rPr>
                <w:sz w:val="20"/>
                <w:szCs w:val="20"/>
                <w:color w:val="auto"/>
              </w:rPr>
            </w:pPr>
            <w:r>
              <w:rPr>
                <w:rFonts w:ascii="Arial" w:cs="Arial" w:eastAsia="Arial" w:hAnsi="Arial"/>
                <w:sz w:val="15"/>
                <w:szCs w:val="15"/>
                <w:color w:val="auto"/>
              </w:rPr>
              <w:t>1,250,421​​</w:t>
            </w:r>
          </w:p>
        </w:tc>
        <w:tc>
          <w:tcPr>
            <w:tcW w:w="28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jc w:val="right"/>
              <w:spacing w:after="0"/>
              <w:rPr>
                <w:sz w:val="20"/>
                <w:szCs w:val="20"/>
                <w:color w:val="auto"/>
              </w:rPr>
            </w:pPr>
            <w:r>
              <w:rPr>
                <w:rFonts w:ascii="Arial" w:cs="Arial" w:eastAsia="Arial" w:hAnsi="Arial"/>
                <w:sz w:val="15"/>
                <w:szCs w:val="15"/>
                <w:color w:val="auto"/>
              </w:rPr>
              <w:t>8,299,694​​</w:t>
            </w:r>
          </w:p>
        </w:tc>
      </w:tr>
      <w:tr>
        <w:trPr>
          <w:trHeight w:val="432"/>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46"/>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1,221,000​​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56,462​​ ​</w:t>
            </w:r>
          </w:p>
        </w:tc>
        <w:tc>
          <w:tcPr>
            <w:tcW w:w="1440" w:type="dxa"/>
            <w:vAlign w:val="bottom"/>
            <w:gridSpan w:val="3"/>
          </w:tcPr>
          <w:p>
            <w:pPr>
              <w:ind w:left="140"/>
              <w:spacing w:after="0"/>
              <w:rPr>
                <w:sz w:val="20"/>
                <w:szCs w:val="20"/>
                <w:color w:val="auto"/>
              </w:rPr>
            </w:pPr>
            <w:r>
              <w:rPr>
                <w:rFonts w:ascii="Arial" w:cs="Arial" w:eastAsia="Arial" w:hAnsi="Arial"/>
                <w:sz w:val="15"/>
                <w:szCs w:val="15"/>
                <w:color w:val="auto"/>
              </w:rPr>
              <w:t>​$  4,794,872​​ ​ ​$</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6,072,334​​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-561340</wp:posOffset>
            </wp:positionV>
            <wp:extent cx="5837555"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-4445</wp:posOffset>
            </wp:positionV>
            <wp:extent cx="583755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37555" cy="16319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4000" w:space="100"/>
            <w:col w:w="5900"/>
          </w:cols>
          <w:pgMar w:left="580" w:top="97" w:right="1319" w:bottom="1440" w:gutter="0" w:footer="0" w:header="0"/>
          <w:type w:val="continuous"/>
        </w:sectPr>
      </w:pPr>
    </w:p>
    <w:p>
      <w:pPr>
        <w:ind w:left="800"/>
        <w:spacing w:after="0"/>
        <w:rPr>
          <w:sz w:val="20"/>
          <w:szCs w:val="20"/>
          <w:color w:val="auto"/>
        </w:rPr>
      </w:pPr>
      <w:r>
        <w:rPr>
          <w:rFonts w:ascii="Arial" w:cs="Arial" w:eastAsia="Arial" w:hAnsi="Arial"/>
          <w:sz w:val="15"/>
          <w:szCs w:val="15"/>
          <w:b w:val="1"/>
          <w:bCs w:val="1"/>
          <w:color w:val="auto"/>
        </w:rPr>
        <w:t>​Hal Khouri</w:t>
      </w:r>
    </w:p>
    <w:p>
      <w:pPr>
        <w:spacing w:after="0" w:line="73" w:lineRule="exact"/>
        <w:rPr>
          <w:sz w:val="20"/>
          <w:szCs w:val="20"/>
          <w:color w:val="auto"/>
        </w:rPr>
      </w:pPr>
    </w:p>
    <w:p>
      <w:pPr>
        <w:ind w:left="800" w:right="440" w:firstLine="41"/>
        <w:spacing w:after="0" w:line="300" w:lineRule="auto"/>
        <w:rPr>
          <w:sz w:val="20"/>
          <w:szCs w:val="20"/>
          <w:color w:val="auto"/>
        </w:rPr>
      </w:pPr>
      <w:r>
        <w:rPr>
          <w:rFonts w:ascii="Arial" w:cs="Arial" w:eastAsia="Arial" w:hAnsi="Arial"/>
          <w:sz w:val="15"/>
          <w:szCs w:val="15"/>
          <w:color w:val="auto"/>
        </w:rPr>
        <w:t>Termination by Us without “Cause” or by ​ Mr. Khouri for “Good Reason”</w:t>
      </w:r>
    </w:p>
    <w:p>
      <w:pPr>
        <w:spacing w:after="0" w:line="1" w:lineRule="exact"/>
        <w:rPr>
          <w:sz w:val="20"/>
          <w:szCs w:val="20"/>
          <w:color w:val="auto"/>
        </w:rPr>
      </w:pPr>
    </w:p>
    <w:p>
      <w:pPr>
        <w:ind w:left="800" w:firstLine="41"/>
        <w:spacing w:after="0" w:line="300" w:lineRule="auto"/>
        <w:rPr>
          <w:sz w:val="20"/>
          <w:szCs w:val="20"/>
          <w:color w:val="auto"/>
        </w:rPr>
      </w:pPr>
      <w:r>
        <w:rPr>
          <w:rFonts w:ascii="Arial" w:cs="Arial" w:eastAsia="Arial" w:hAnsi="Arial"/>
          <w:sz w:val="15"/>
          <w:szCs w:val="15"/>
          <w:color w:val="auto"/>
        </w:rPr>
        <w:t>Termination by Us for “Cause” or by Mr. Khouri ​ without “Good Reason”</w:t>
      </w:r>
    </w:p>
    <w:p>
      <w:pPr>
        <w:spacing w:after="0" w:line="1" w:lineRule="exact"/>
        <w:rPr>
          <w:sz w:val="20"/>
          <w:szCs w:val="20"/>
          <w:color w:val="auto"/>
        </w:rPr>
      </w:pPr>
    </w:p>
    <w:p>
      <w:pPr>
        <w:ind w:left="800" w:right="240" w:firstLine="41"/>
        <w:spacing w:after="0" w:line="317" w:lineRule="auto"/>
        <w:rPr>
          <w:sz w:val="20"/>
          <w:szCs w:val="20"/>
          <w:color w:val="auto"/>
        </w:rPr>
      </w:pPr>
      <w:r>
        <w:rPr>
          <w:rFonts w:ascii="Arial" w:cs="Arial" w:eastAsia="Arial" w:hAnsi="Arial"/>
          <w:sz w:val="15"/>
          <w:szCs w:val="15"/>
          <w:color w:val="auto"/>
        </w:rPr>
        <w:t>Termination due to Mr. Khouri’s disability or ​ death</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20"/>
                <w:szCs w:val="20"/>
                <w:color w:val="auto"/>
              </w:rPr>
            </w:pPr>
            <w:r>
              <w:rPr>
                <w:rFonts w:ascii="Arial" w:cs="Arial" w:eastAsia="Arial" w:hAnsi="Arial"/>
                <w:sz w:val="15"/>
                <w:szCs w:val="15"/>
                <w:b w:val="1"/>
                <w:bCs w:val="1"/>
                <w:color w:val="auto"/>
              </w:rPr>
              <w:t>​ ​​ ​</w:t>
            </w: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rPr>
              <w:t>​​ ​</w:t>
            </w:r>
          </w:p>
        </w:tc>
        <w:tc>
          <w:tcPr>
            <w:tcW w:w="360" w:type="dxa"/>
            <w:vAlign w:val="bottom"/>
          </w:tcPr>
          <w:p>
            <w:pPr>
              <w:ind w:left="160"/>
              <w:spacing w:after="0"/>
              <w:rPr>
                <w:sz w:val="20"/>
                <w:szCs w:val="20"/>
                <w:color w:val="auto"/>
              </w:rPr>
            </w:pPr>
            <w:r>
              <w:rPr>
                <w:rFonts w:ascii="Arial" w:cs="Arial" w:eastAsia="Arial" w:hAnsi="Arial"/>
                <w:sz w:val="15"/>
                <w:szCs w:val="15"/>
                <w:b w:val="1"/>
                <w:bCs w:val="1"/>
                <w:color w:val="auto"/>
              </w:rPr>
              <w:t>​ ​</w:t>
            </w:r>
          </w:p>
        </w:tc>
        <w:tc>
          <w:tcPr>
            <w:tcW w:w="780" w:type="dxa"/>
            <w:vAlign w:val="bottom"/>
          </w:tcPr>
          <w:p>
            <w:pPr>
              <w:jc w:val="right"/>
              <w:ind w:right="44"/>
              <w:spacing w:after="0"/>
              <w:rPr>
                <w:sz w:val="20"/>
                <w:szCs w:val="20"/>
                <w:color w:val="auto"/>
              </w:rPr>
            </w:pPr>
            <w:r>
              <w:rPr>
                <w:rFonts w:ascii="Arial" w:cs="Arial" w:eastAsia="Arial" w:hAnsi="Arial"/>
                <w:sz w:val="15"/>
                <w:szCs w:val="15"/>
                <w:b w:val="1"/>
                <w:bCs w:val="1"/>
                <w:color w:val="auto"/>
              </w:rPr>
              <w:t>​​ ​</w:t>
            </w:r>
          </w:p>
        </w:tc>
        <w:tc>
          <w:tcPr>
            <w:tcW w:w="30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204"/>
              <w:spacing w:after="0"/>
              <w:rPr>
                <w:sz w:val="20"/>
                <w:szCs w:val="20"/>
                <w:color w:val="auto"/>
              </w:rPr>
            </w:pPr>
            <w:r>
              <w:rPr>
                <w:rFonts w:ascii="Arial" w:cs="Arial" w:eastAsia="Arial" w:hAnsi="Arial"/>
                <w:sz w:val="15"/>
                <w:szCs w:val="15"/>
                <w:b w:val="1"/>
                <w:bCs w:val="1"/>
                <w:color w:val="auto"/>
              </w:rPr>
              <w:t>​ ​ ​</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 ​ ​</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411"/>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1,237,275​​ ​</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color w:val="auto"/>
              </w:rPr>
              <w:t>​$ 10,991​​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73,816​​</w:t>
            </w:r>
          </w:p>
        </w:tc>
        <w:tc>
          <w:tcPr>
            <w:tcW w:w="560" w:type="dxa"/>
            <w:vAlign w:val="bottom"/>
          </w:tcPr>
          <w:p>
            <w:pPr>
              <w:jc w:val="right"/>
              <w:ind w:right="244"/>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jc w:val="right"/>
              <w:spacing w:after="0"/>
              <w:rPr>
                <w:sz w:val="20"/>
                <w:szCs w:val="20"/>
                <w:color w:val="auto"/>
              </w:rPr>
            </w:pPr>
            <w:r>
              <w:rPr>
                <w:rFonts w:ascii="Arial" w:cs="Arial" w:eastAsia="Arial" w:hAnsi="Arial"/>
                <w:sz w:val="15"/>
                <w:szCs w:val="15"/>
                <w:color w:val="auto"/>
              </w:rPr>
              <w:t>1,322,082​​</w:t>
            </w:r>
          </w:p>
        </w:tc>
      </w:tr>
      <w:tr>
        <w:trPr>
          <w:trHeight w:val="432"/>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 ​</w:t>
            </w:r>
          </w:p>
        </w:tc>
        <w:tc>
          <w:tcPr>
            <w:tcW w:w="360" w:type="dxa"/>
            <w:vAlign w:val="bottom"/>
          </w:tcPr>
          <w:p>
            <w:pPr>
              <w:ind w:left="16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44"/>
              <w:spacing w:after="0"/>
              <w:rPr>
                <w:sz w:val="20"/>
                <w:szCs w:val="20"/>
                <w:color w:val="auto"/>
              </w:rPr>
            </w:pPr>
            <w:r>
              <w:rPr>
                <w:rFonts w:ascii="Arial" w:cs="Arial" w:eastAsia="Arial" w:hAnsi="Arial"/>
                <w:sz w:val="15"/>
                <w:szCs w:val="15"/>
                <w:color w:val="auto"/>
              </w:rPr>
              <w:t>—​​ ​ ​$</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46"/>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224,775​​ ​</w:t>
            </w:r>
          </w:p>
        </w:tc>
        <w:tc>
          <w:tcPr>
            <w:tcW w:w="360" w:type="dxa"/>
            <w:vAlign w:val="bottom"/>
          </w:tcPr>
          <w:p>
            <w:pPr>
              <w:ind w:left="16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7,328​​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44"/>
              <w:spacing w:after="0"/>
              <w:rPr>
                <w:sz w:val="20"/>
                <w:szCs w:val="20"/>
                <w:color w:val="auto"/>
              </w:rPr>
            </w:pPr>
            <w:r>
              <w:rPr>
                <w:rFonts w:ascii="Arial" w:cs="Arial" w:eastAsia="Arial" w:hAnsi="Arial"/>
                <w:sz w:val="15"/>
                <w:szCs w:val="15"/>
                <w:color w:val="auto"/>
              </w:rPr>
              <w:t>1,469,860​​ ​ ​$</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1,701,963​​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-561340</wp:posOffset>
            </wp:positionV>
            <wp:extent cx="5837555"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-4445</wp:posOffset>
            </wp:positionV>
            <wp:extent cx="583755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37555" cy="16319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4000" w:space="100"/>
            <w:col w:w="5900"/>
          </w:cols>
          <w:pgMar w:left="580" w:top="97" w:right="1319" w:bottom="1440" w:gutter="0" w:footer="0" w:header="0"/>
          <w:type w:val="continuous"/>
        </w:sectPr>
      </w:pPr>
    </w:p>
    <w:p>
      <w:pPr>
        <w:ind w:left="800"/>
        <w:spacing w:after="0"/>
        <w:rPr>
          <w:sz w:val="20"/>
          <w:szCs w:val="20"/>
          <w:color w:val="auto"/>
        </w:rPr>
      </w:pPr>
      <w:r>
        <w:rPr>
          <w:rFonts w:ascii="Arial" w:cs="Arial" w:eastAsia="Arial" w:hAnsi="Arial"/>
          <w:sz w:val="15"/>
          <w:szCs w:val="15"/>
          <w:b w:val="1"/>
          <w:bCs w:val="1"/>
          <w:color w:val="auto"/>
        </w:rPr>
        <w:t>​Tyler Montrone</w:t>
      </w:r>
    </w:p>
    <w:p>
      <w:pPr>
        <w:spacing w:after="0" w:line="73" w:lineRule="exact"/>
        <w:rPr>
          <w:sz w:val="20"/>
          <w:szCs w:val="20"/>
          <w:color w:val="auto"/>
        </w:rPr>
      </w:pPr>
    </w:p>
    <w:p>
      <w:pPr>
        <w:ind w:left="800" w:right="220" w:firstLine="41"/>
        <w:spacing w:after="0" w:line="300" w:lineRule="auto"/>
        <w:rPr>
          <w:sz w:val="20"/>
          <w:szCs w:val="20"/>
          <w:color w:val="auto"/>
        </w:rPr>
      </w:pPr>
      <w:r>
        <w:rPr>
          <w:rFonts w:ascii="Arial" w:cs="Arial" w:eastAsia="Arial" w:hAnsi="Arial"/>
          <w:sz w:val="15"/>
          <w:szCs w:val="15"/>
          <w:color w:val="auto"/>
        </w:rPr>
        <w:t>Termination by Us without “Cause” or by ​ Mr. Montrone for “Good Reason”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Termination by Us for “Cause” or by</w:t>
      </w:r>
    </w:p>
    <w:p>
      <w:pPr>
        <w:spacing w:after="0" w:line="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5"/>
          <w:szCs w:val="15"/>
          <w:color w:val="auto"/>
        </w:rPr>
        <w:t>​</w:t>
        <w:tab/>
        <w:t>Mr. Montrone without “Good Reason”</w:t>
      </w:r>
    </w:p>
    <w:p>
      <w:pPr>
        <w:spacing w:after="0" w:line="59" w:lineRule="exact"/>
        <w:rPr>
          <w:sz w:val="20"/>
          <w:szCs w:val="20"/>
          <w:color w:val="auto"/>
        </w:rPr>
      </w:pPr>
    </w:p>
    <w:p>
      <w:pPr>
        <w:ind w:left="800" w:firstLine="41"/>
        <w:spacing w:after="0" w:line="317" w:lineRule="auto"/>
        <w:rPr>
          <w:sz w:val="20"/>
          <w:szCs w:val="20"/>
          <w:color w:val="auto"/>
        </w:rPr>
      </w:pPr>
      <w:r>
        <w:rPr>
          <w:rFonts w:ascii="Arial" w:cs="Arial" w:eastAsia="Arial" w:hAnsi="Arial"/>
          <w:sz w:val="15"/>
          <w:szCs w:val="15"/>
          <w:color w:val="auto"/>
        </w:rPr>
        <w:t>Termination due to Mr. Montrone’s disability ​ or death</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20"/>
                <w:szCs w:val="20"/>
                <w:color w:val="auto"/>
              </w:rPr>
            </w:pPr>
            <w:r>
              <w:rPr>
                <w:rFonts w:ascii="Arial" w:cs="Arial" w:eastAsia="Arial" w:hAnsi="Arial"/>
                <w:sz w:val="15"/>
                <w:szCs w:val="15"/>
                <w:b w:val="1"/>
                <w:bCs w:val="1"/>
                <w:color w:val="auto"/>
              </w:rPr>
              <w:t>​ ​​ ​</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 ​</w:t>
            </w:r>
          </w:p>
        </w:tc>
        <w:tc>
          <w:tcPr>
            <w:tcW w:w="320" w:type="dxa"/>
            <w:vAlign w:val="bottom"/>
          </w:tcPr>
          <w:p>
            <w:pPr>
              <w:ind w:left="160"/>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auto"/>
              </w:rPr>
              <w:t>​​ ​</w:t>
            </w:r>
          </w:p>
        </w:tc>
        <w:tc>
          <w:tcPr>
            <w:tcW w:w="30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4"/>
              <w:spacing w:after="0"/>
              <w:rPr>
                <w:sz w:val="20"/>
                <w:szCs w:val="20"/>
                <w:color w:val="auto"/>
              </w:rPr>
            </w:pPr>
            <w:r>
              <w:rPr>
                <w:rFonts w:ascii="Arial" w:cs="Arial" w:eastAsia="Arial" w:hAnsi="Arial"/>
                <w:sz w:val="15"/>
                <w:szCs w:val="15"/>
                <w:b w:val="1"/>
                <w:bCs w:val="1"/>
                <w:color w:val="auto"/>
              </w:rPr>
              <w:t>​ ​ ​</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 ​ ​</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411"/>
        </w:trPr>
        <w:tc>
          <w:tcPr>
            <w:tcW w:w="380" w:type="dxa"/>
            <w:vAlign w:val="bottom"/>
          </w:tcPr>
          <w:p>
            <w:pPr>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951,588​​ ​</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color w:val="auto"/>
              </w:rPr>
              <w:t>​$ 42,010​​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164,277​​</w:t>
            </w: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760" w:type="dxa"/>
            <w:vAlign w:val="bottom"/>
          </w:tcPr>
          <w:p>
            <w:pPr>
              <w:jc w:val="right"/>
              <w:spacing w:after="0"/>
              <w:rPr>
                <w:sz w:val="20"/>
                <w:szCs w:val="20"/>
                <w:color w:val="auto"/>
              </w:rPr>
            </w:pPr>
            <w:r>
              <w:rPr>
                <w:rFonts w:ascii="Arial" w:cs="Arial" w:eastAsia="Arial" w:hAnsi="Arial"/>
                <w:sz w:val="15"/>
                <w:szCs w:val="15"/>
                <w:color w:val="auto"/>
              </w:rPr>
              <w:t>539,969​​</w:t>
            </w:r>
          </w:p>
        </w:tc>
        <w:tc>
          <w:tcPr>
            <w:tcW w:w="28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jc w:val="right"/>
              <w:spacing w:after="0"/>
              <w:rPr>
                <w:sz w:val="20"/>
                <w:szCs w:val="20"/>
                <w:color w:val="auto"/>
              </w:rPr>
            </w:pPr>
            <w:r>
              <w:rPr>
                <w:rFonts w:ascii="Arial" w:cs="Arial" w:eastAsia="Arial" w:hAnsi="Arial"/>
                <w:sz w:val="15"/>
                <w:szCs w:val="15"/>
                <w:color w:val="auto"/>
              </w:rPr>
              <w:t>1,697,844​​</w:t>
            </w:r>
          </w:p>
        </w:tc>
      </w:tr>
      <w:tr>
        <w:trPr>
          <w:trHeight w:val="432"/>
        </w:trPr>
        <w:tc>
          <w:tcPr>
            <w:tcW w:w="380" w:type="dxa"/>
            <w:vAlign w:val="bottom"/>
          </w:tcPr>
          <w:p>
            <w:pPr>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 ​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45"/>
        </w:trPr>
        <w:tc>
          <w:tcPr>
            <w:tcW w:w="380" w:type="dxa"/>
            <w:vAlign w:val="bottom"/>
          </w:tcPr>
          <w:p>
            <w:pPr>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217,338​​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28,006​​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1,168,557​​ ​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1,413,901​​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-561340</wp:posOffset>
            </wp:positionV>
            <wp:extent cx="5837555"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-3810</wp:posOffset>
            </wp:positionV>
            <wp:extent cx="5837555"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37555" cy="16256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3780" w:space="320"/>
            <w:col w:w="5900"/>
          </w:cols>
          <w:pgMar w:left="580" w:top="97" w:right="1319" w:bottom="1440" w:gutter="0" w:footer="0" w:header="0"/>
          <w:type w:val="continuous"/>
        </w:sectPr>
      </w:pPr>
    </w:p>
    <w:p>
      <w:pPr>
        <w:ind w:left="800"/>
        <w:spacing w:after="0"/>
        <w:rPr>
          <w:sz w:val="20"/>
          <w:szCs w:val="20"/>
          <w:color w:val="auto"/>
        </w:rPr>
      </w:pPr>
      <w:r>
        <w:rPr>
          <w:rFonts w:ascii="Arial" w:cs="Arial" w:eastAsia="Arial" w:hAnsi="Arial"/>
          <w:sz w:val="15"/>
          <w:szCs w:val="15"/>
          <w:b w:val="1"/>
          <w:bCs w:val="1"/>
          <w:color w:val="auto"/>
        </w:rPr>
        <w:t>​Anthony Blasquez</w:t>
      </w:r>
    </w:p>
    <w:p>
      <w:pPr>
        <w:spacing w:after="0" w:line="73" w:lineRule="exact"/>
        <w:rPr>
          <w:sz w:val="20"/>
          <w:szCs w:val="20"/>
          <w:color w:val="auto"/>
        </w:rPr>
      </w:pPr>
    </w:p>
    <w:p>
      <w:pPr>
        <w:ind w:left="800" w:right="200" w:firstLine="41"/>
        <w:spacing w:after="0" w:line="300" w:lineRule="auto"/>
        <w:rPr>
          <w:sz w:val="20"/>
          <w:szCs w:val="20"/>
          <w:color w:val="auto"/>
        </w:rPr>
      </w:pPr>
      <w:r>
        <w:rPr>
          <w:rFonts w:ascii="Arial" w:cs="Arial" w:eastAsia="Arial" w:hAnsi="Arial"/>
          <w:sz w:val="15"/>
          <w:szCs w:val="15"/>
          <w:color w:val="auto"/>
        </w:rPr>
        <w:t>Termination by Us without “Cause” or by ​ Mr. Blasquez for “Good Reason”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Termination by Us for “Cause” or by</w:t>
      </w:r>
    </w:p>
    <w:p>
      <w:pPr>
        <w:spacing w:after="0" w:line="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5"/>
          <w:szCs w:val="15"/>
          <w:color w:val="auto"/>
        </w:rPr>
        <w:t>​</w:t>
        <w:tab/>
        <w:t>Mr. Blasquez without “Good Reason”</w:t>
      </w:r>
    </w:p>
    <w:p>
      <w:pPr>
        <w:spacing w:after="0" w:line="59" w:lineRule="exact"/>
        <w:rPr>
          <w:sz w:val="20"/>
          <w:szCs w:val="20"/>
          <w:color w:val="auto"/>
        </w:rPr>
      </w:pPr>
    </w:p>
    <w:p>
      <w:pPr>
        <w:ind w:left="800" w:firstLine="41"/>
        <w:spacing w:after="0" w:line="317" w:lineRule="auto"/>
        <w:rPr>
          <w:sz w:val="20"/>
          <w:szCs w:val="20"/>
          <w:color w:val="auto"/>
        </w:rPr>
      </w:pPr>
      <w:r>
        <w:rPr>
          <w:rFonts w:ascii="Arial" w:cs="Arial" w:eastAsia="Arial" w:hAnsi="Arial"/>
          <w:sz w:val="15"/>
          <w:szCs w:val="15"/>
          <w:color w:val="auto"/>
        </w:rPr>
        <w:t>Termination due to Mr. Blasquez’s disability ​ or death</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20"/>
                <w:szCs w:val="20"/>
                <w:color w:val="auto"/>
              </w:rPr>
            </w:pPr>
            <w:r>
              <w:rPr>
                <w:rFonts w:ascii="Arial" w:cs="Arial" w:eastAsia="Arial" w:hAnsi="Arial"/>
                <w:sz w:val="15"/>
                <w:szCs w:val="15"/>
                <w:b w:val="1"/>
                <w:bCs w:val="1"/>
                <w:color w:val="auto"/>
              </w:rPr>
              <w:t>​ ​​ ​</w:t>
            </w: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rPr>
              <w:t>​​ ​</w:t>
            </w:r>
          </w:p>
        </w:tc>
        <w:tc>
          <w:tcPr>
            <w:tcW w:w="320" w:type="dxa"/>
            <w:vAlign w:val="bottom"/>
          </w:tcPr>
          <w:p>
            <w:pPr>
              <w:ind w:left="160"/>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auto"/>
              </w:rPr>
              <w:t>​​ ​</w:t>
            </w:r>
          </w:p>
        </w:tc>
        <w:tc>
          <w:tcPr>
            <w:tcW w:w="30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4"/>
              <w:spacing w:after="0"/>
              <w:rPr>
                <w:sz w:val="20"/>
                <w:szCs w:val="20"/>
                <w:color w:val="auto"/>
              </w:rPr>
            </w:pPr>
            <w:r>
              <w:rPr>
                <w:rFonts w:ascii="Arial" w:cs="Arial" w:eastAsia="Arial" w:hAnsi="Arial"/>
                <w:sz w:val="15"/>
                <w:szCs w:val="15"/>
                <w:b w:val="1"/>
                <w:bCs w:val="1"/>
                <w:color w:val="auto"/>
              </w:rPr>
              <w:t>​ ​ ​</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 ​ ​</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411"/>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1,316,957​​ ​</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color w:val="auto"/>
              </w:rPr>
              <w:t>​$ 41,411​​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163,548​​</w:t>
            </w: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760" w:type="dxa"/>
            <w:vAlign w:val="bottom"/>
          </w:tcPr>
          <w:p>
            <w:pPr>
              <w:jc w:val="right"/>
              <w:spacing w:after="0"/>
              <w:rPr>
                <w:sz w:val="20"/>
                <w:szCs w:val="20"/>
                <w:color w:val="auto"/>
              </w:rPr>
            </w:pPr>
            <w:r>
              <w:rPr>
                <w:rFonts w:ascii="Arial" w:cs="Arial" w:eastAsia="Arial" w:hAnsi="Arial"/>
                <w:sz w:val="15"/>
                <w:szCs w:val="15"/>
                <w:color w:val="auto"/>
              </w:rPr>
              <w:t>538,564​​</w:t>
            </w:r>
          </w:p>
        </w:tc>
        <w:tc>
          <w:tcPr>
            <w:tcW w:w="28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jc w:val="right"/>
              <w:spacing w:after="0"/>
              <w:rPr>
                <w:sz w:val="20"/>
                <w:szCs w:val="20"/>
                <w:color w:val="auto"/>
              </w:rPr>
            </w:pPr>
            <w:r>
              <w:rPr>
                <w:rFonts w:ascii="Arial" w:cs="Arial" w:eastAsia="Arial" w:hAnsi="Arial"/>
                <w:sz w:val="15"/>
                <w:szCs w:val="15"/>
                <w:color w:val="auto"/>
              </w:rPr>
              <w:t>2,060,480​​</w:t>
            </w:r>
          </w:p>
        </w:tc>
      </w:tr>
      <w:tr>
        <w:trPr>
          <w:trHeight w:val="432"/>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 ​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46"/>
        </w:trPr>
        <w:tc>
          <w:tcPr>
            <w:tcW w:w="32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215,118​​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27,607​​ ​</w:t>
            </w:r>
          </w:p>
        </w:tc>
        <w:tc>
          <w:tcPr>
            <w:tcW w:w="300" w:type="dxa"/>
            <w:vAlign w:val="bottom"/>
          </w:tcPr>
          <w:p>
            <w:pPr>
              <w:ind w:left="1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1,162,937​​ ​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1,405,662​​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-561340</wp:posOffset>
            </wp:positionV>
            <wp:extent cx="5837555"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-4445</wp:posOffset>
            </wp:positionV>
            <wp:extent cx="5837555"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37555" cy="16256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3760" w:space="340"/>
            <w:col w:w="5900"/>
          </w:cols>
          <w:pgMar w:left="580" w:top="97" w:right="1319" w:bottom="1440" w:gutter="0" w:footer="0" w:header="0"/>
          <w:type w:val="continuous"/>
        </w:sectPr>
      </w:pPr>
    </w:p>
    <w:p>
      <w:pPr>
        <w:ind w:left="800"/>
        <w:spacing w:after="0"/>
        <w:rPr>
          <w:sz w:val="20"/>
          <w:szCs w:val="20"/>
          <w:color w:val="auto"/>
        </w:rPr>
      </w:pPr>
      <w:r>
        <w:rPr>
          <w:rFonts w:ascii="Arial" w:cs="Arial" w:eastAsia="Arial" w:hAnsi="Arial"/>
          <w:sz w:val="15"/>
          <w:szCs w:val="15"/>
          <w:b w:val="1"/>
          <w:bCs w:val="1"/>
          <w:color w:val="auto"/>
        </w:rPr>
        <w:t>​Bryan Pechersky</w:t>
      </w:r>
    </w:p>
    <w:p>
      <w:pPr>
        <w:spacing w:after="0" w:line="73" w:lineRule="exact"/>
        <w:rPr>
          <w:sz w:val="20"/>
          <w:szCs w:val="20"/>
          <w:color w:val="auto"/>
        </w:rPr>
      </w:pPr>
    </w:p>
    <w:p>
      <w:pPr>
        <w:ind w:left="800" w:right="280" w:firstLine="41"/>
        <w:spacing w:after="0" w:line="300" w:lineRule="auto"/>
        <w:rPr>
          <w:sz w:val="20"/>
          <w:szCs w:val="20"/>
          <w:color w:val="auto"/>
        </w:rPr>
      </w:pPr>
      <w:r>
        <w:rPr>
          <w:rFonts w:ascii="Arial" w:cs="Arial" w:eastAsia="Arial" w:hAnsi="Arial"/>
          <w:sz w:val="15"/>
          <w:szCs w:val="15"/>
          <w:color w:val="auto"/>
        </w:rPr>
        <w:t>Termination by Us without “Cause” or by ​ Mr. Pechersky for “Good Reason”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Termination by Us for “Cause” or by</w:t>
      </w:r>
    </w:p>
    <w:p>
      <w:pPr>
        <w:spacing w:after="0" w:line="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5"/>
          <w:szCs w:val="15"/>
          <w:color w:val="auto"/>
        </w:rPr>
        <w:t>​</w:t>
        <w:tab/>
        <w:t>Mr. Pechersky without “Good Reason”</w:t>
      </w:r>
    </w:p>
    <w:p>
      <w:pPr>
        <w:spacing w:after="0" w:line="59" w:lineRule="exact"/>
        <w:rPr>
          <w:sz w:val="20"/>
          <w:szCs w:val="20"/>
          <w:color w:val="auto"/>
        </w:rPr>
      </w:pPr>
    </w:p>
    <w:p>
      <w:pPr>
        <w:ind w:left="800" w:firstLine="41"/>
        <w:spacing w:after="0" w:line="326" w:lineRule="auto"/>
        <w:rPr>
          <w:sz w:val="20"/>
          <w:szCs w:val="20"/>
          <w:color w:val="auto"/>
        </w:rPr>
      </w:pPr>
      <w:r>
        <w:rPr>
          <w:rFonts w:ascii="Arial" w:cs="Arial" w:eastAsia="Arial" w:hAnsi="Arial"/>
          <w:sz w:val="15"/>
          <w:szCs w:val="15"/>
          <w:color w:val="auto"/>
        </w:rPr>
        <w:t>Termination due to Mr. Pechersky’s disability ​ or death</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20"/>
                <w:szCs w:val="20"/>
                <w:color w:val="auto"/>
              </w:rPr>
            </w:pPr>
            <w:r>
              <w:rPr>
                <w:rFonts w:ascii="Arial" w:cs="Arial" w:eastAsia="Arial" w:hAnsi="Arial"/>
                <w:sz w:val="15"/>
                <w:szCs w:val="15"/>
                <w:b w:val="1"/>
                <w:bCs w:val="1"/>
                <w:color w:val="auto"/>
              </w:rPr>
              <w:t>​ ​​ ​</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 ​</w:t>
            </w:r>
          </w:p>
        </w:tc>
        <w:tc>
          <w:tcPr>
            <w:tcW w:w="320" w:type="dxa"/>
            <w:vAlign w:val="bottom"/>
          </w:tcPr>
          <w:p>
            <w:pPr>
              <w:ind w:left="160"/>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auto"/>
              </w:rPr>
              <w:t>​​ ​</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4"/>
              <w:spacing w:after="0"/>
              <w:rPr>
                <w:sz w:val="20"/>
                <w:szCs w:val="20"/>
                <w:color w:val="auto"/>
              </w:rPr>
            </w:pPr>
            <w:r>
              <w:rPr>
                <w:rFonts w:ascii="Arial" w:cs="Arial" w:eastAsia="Arial" w:hAnsi="Arial"/>
                <w:sz w:val="15"/>
                <w:szCs w:val="15"/>
                <w:b w:val="1"/>
                <w:bCs w:val="1"/>
                <w:color w:val="auto"/>
              </w:rPr>
              <w:t>​ ​ ​</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 ​ ​</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410"/>
        </w:trPr>
        <w:tc>
          <w:tcPr>
            <w:tcW w:w="380" w:type="dxa"/>
            <w:vAlign w:val="bottom"/>
          </w:tcPr>
          <w:p>
            <w:pPr>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894,240​​ ​</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color w:val="auto"/>
              </w:rPr>
              <w:t>​$ 41,411​​ ​</w:t>
            </w:r>
          </w:p>
        </w:tc>
        <w:tc>
          <w:tcPr>
            <w:tcW w:w="360" w:type="dxa"/>
            <w:vAlign w:val="bottom"/>
          </w:tcPr>
          <w:p>
            <w:pPr>
              <w:ind w:lef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101,210​​</w:t>
            </w: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760" w:type="dxa"/>
            <w:vAlign w:val="bottom"/>
          </w:tcPr>
          <w:p>
            <w:pPr>
              <w:jc w:val="right"/>
              <w:spacing w:after="0"/>
              <w:rPr>
                <w:sz w:val="20"/>
                <w:szCs w:val="20"/>
                <w:color w:val="auto"/>
              </w:rPr>
            </w:pPr>
            <w:r>
              <w:rPr>
                <w:rFonts w:ascii="Arial" w:cs="Arial" w:eastAsia="Arial" w:hAnsi="Arial"/>
                <w:sz w:val="15"/>
                <w:szCs w:val="15"/>
                <w:color w:val="auto"/>
              </w:rPr>
              <w:t>324,205​​</w:t>
            </w:r>
          </w:p>
        </w:tc>
        <w:tc>
          <w:tcPr>
            <w:tcW w:w="28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jc w:val="right"/>
              <w:spacing w:after="0"/>
              <w:rPr>
                <w:sz w:val="20"/>
                <w:szCs w:val="20"/>
                <w:color w:val="auto"/>
              </w:rPr>
            </w:pPr>
            <w:r>
              <w:rPr>
                <w:rFonts w:ascii="Arial" w:cs="Arial" w:eastAsia="Arial" w:hAnsi="Arial"/>
                <w:sz w:val="15"/>
                <w:szCs w:val="15"/>
                <w:color w:val="auto"/>
              </w:rPr>
              <w:t>1,361,066​​</w:t>
            </w:r>
          </w:p>
        </w:tc>
      </w:tr>
      <w:tr>
        <w:trPr>
          <w:trHeight w:val="432"/>
        </w:trPr>
        <w:tc>
          <w:tcPr>
            <w:tcW w:w="380" w:type="dxa"/>
            <w:vAlign w:val="bottom"/>
          </w:tcPr>
          <w:p>
            <w:pPr>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360" w:type="dxa"/>
            <w:vAlign w:val="bottom"/>
          </w:tcPr>
          <w:p>
            <w:pPr>
              <w:ind w:left="1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color w:val="auto"/>
              </w:rPr>
              <w:t>—​​ ​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45"/>
        </w:trPr>
        <w:tc>
          <w:tcPr>
            <w:tcW w:w="380" w:type="dxa"/>
            <w:vAlign w:val="bottom"/>
          </w:tcPr>
          <w:p>
            <w:pPr>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204,240​​ ​</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27,607​​ ​</w:t>
            </w:r>
          </w:p>
        </w:tc>
        <w:tc>
          <w:tcPr>
            <w:tcW w:w="360" w:type="dxa"/>
            <w:vAlign w:val="bottom"/>
          </w:tcPr>
          <w:p>
            <w:pPr>
              <w:ind w:left="1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color w:val="auto"/>
              </w:rPr>
              <w:t>723,832​​ ​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00" w:type="dxa"/>
            <w:vAlign w:val="bottom"/>
          </w:tcPr>
          <w:p>
            <w:pPr>
              <w:jc w:val="right"/>
              <w:spacing w:after="0"/>
              <w:rPr>
                <w:sz w:val="20"/>
                <w:szCs w:val="20"/>
                <w:color w:val="auto"/>
              </w:rPr>
            </w:pPr>
            <w:r>
              <w:rPr>
                <w:rFonts w:ascii="Arial" w:cs="Arial" w:eastAsia="Arial" w:hAnsi="Arial"/>
                <w:sz w:val="15"/>
                <w:szCs w:val="15"/>
                <w:color w:val="auto"/>
              </w:rPr>
              <w:t>955,679​​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-561340</wp:posOffset>
            </wp:positionV>
            <wp:extent cx="5837555"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-4445</wp:posOffset>
            </wp:positionV>
            <wp:extent cx="58375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840" w:space="260"/>
            <w:col w:w="5900"/>
          </w:cols>
          <w:pgMar w:left="580" w:top="97" w:right="1319" w:bottom="1440" w:gutter="0" w:footer="0" w:header="0"/>
          <w:type w:val="continuous"/>
        </w:sectPr>
      </w:pPr>
    </w:p>
    <w:p>
      <w:pPr>
        <w:jc w:val="both"/>
        <w:ind w:left="1120" w:right="40" w:hanging="358"/>
        <w:spacing w:after="0" w:line="308" w:lineRule="auto"/>
        <w:tabs>
          <w:tab w:leader="none" w:pos="11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listed herein reflect the value of medical insurance coverage that would be extended to a named executive officer following termination; provided, however, such named executive officer would continue to be responsible for normal employee premium contributions.</w:t>
      </w:r>
    </w:p>
    <w:p>
      <w:pPr>
        <w:spacing w:after="0" w:line="138" w:lineRule="exact"/>
        <w:rPr>
          <w:rFonts w:ascii="Arial" w:cs="Arial" w:eastAsia="Arial" w:hAnsi="Arial"/>
          <w:sz w:val="14"/>
          <w:szCs w:val="14"/>
          <w:i w:val="1"/>
          <w:iCs w:val="1"/>
          <w:color w:val="auto"/>
        </w:rPr>
      </w:pPr>
    </w:p>
    <w:p>
      <w:pPr>
        <w:jc w:val="both"/>
        <w:ind w:left="1120" w:right="40" w:hanging="358"/>
        <w:spacing w:after="0" w:line="267" w:lineRule="auto"/>
        <w:tabs>
          <w:tab w:leader="none" w:pos="11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Per Mr. Karam’s February 2025 employment agreement, vesting of certain equity-based awards will be accelerated in full upon certain terminations of employment. For named executive officers other than Mr. Karam and Mr. Fadel, restricted stock units and performance stock units will become vested in connection with certain terminations of employment as described above under “Arrangements with Respect to Long-Term Incentive Plans.”</w:t>
      </w:r>
    </w:p>
    <w:p>
      <w:pPr>
        <w:jc w:val="both"/>
        <w:ind w:left="1120" w:right="40" w:hanging="358"/>
        <w:spacing w:after="0" w:line="273" w:lineRule="auto"/>
        <w:tabs>
          <w:tab w:leader="none" w:pos="11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Per Mr. Fadel’s April 2024 letter agreement and Mr. Karam’s February 2025 employment agreement, upon certain terminations of employment, certain equity-based awards will continue to vest in full on the original vesting schedule, subject to the satisfaction of any applicable performance criteria. For named executive officers other than Mr. Karam and Mr. Fadel, upon certain terminations of employment, performance stock units will become vested at the end of the performance period, subject to adjustment for the attainment of performance objectives through the last day of the performance period, as described above under “Arrangements with Respect to Long-Term Incentive Plans.”</w:t>
      </w:r>
    </w:p>
    <w:p>
      <w:pPr>
        <w:spacing w:after="0" w:line="200" w:lineRule="exact"/>
        <w:rPr>
          <w:sz w:val="20"/>
          <w:szCs w:val="20"/>
          <w:color w:val="auto"/>
        </w:rPr>
      </w:pPr>
    </w:p>
    <w:p>
      <w:pPr>
        <w:spacing w:after="0" w:line="238"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TABLES</w:t>
      </w:r>
    </w:p>
    <w:p>
      <w:pPr>
        <w:spacing w:after="0" w:line="376" w:lineRule="exact"/>
        <w:rPr>
          <w:sz w:val="20"/>
          <w:szCs w:val="20"/>
          <w:color w:val="auto"/>
        </w:rPr>
      </w:pPr>
    </w:p>
    <w:p>
      <w:pPr>
        <w:jc w:val="both"/>
        <w:ind w:left="1120" w:right="760" w:hanging="358"/>
        <w:spacing w:after="0" w:line="281" w:lineRule="auto"/>
        <w:tabs>
          <w:tab w:leader="none" w:pos="112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Additional termination events are not listed for Mr. Fadel because, as previously disclosed, he retired as Chief Executive Officer of the Company effective June 1, 2025. As previously disclosed, and as shown above, Mr. Fadel did not receive any cash severance benefits in connection with his retirement, but certain of his equity awards continued to vest consistent with the letter agreement we entered into with him in April 2024, subject to the terms and conditions set forth therein.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Potential Payments and Benefits Upon Termination With a Change in Control</w:t>
      </w:r>
    </w:p>
    <w:p>
      <w:pPr>
        <w:spacing w:after="0" w:line="263" w:lineRule="exact"/>
        <w:rPr>
          <w:sz w:val="20"/>
          <w:szCs w:val="20"/>
          <w:color w:val="auto"/>
        </w:rPr>
      </w:pPr>
    </w:p>
    <w:p>
      <w:pPr>
        <w:jc w:val="both"/>
        <w:ind w:left="760" w:right="760"/>
        <w:spacing w:after="0" w:line="284" w:lineRule="auto"/>
        <w:rPr>
          <w:sz w:val="20"/>
          <w:szCs w:val="20"/>
          <w:color w:val="auto"/>
        </w:rPr>
      </w:pPr>
      <w:r>
        <w:rPr>
          <w:rFonts w:ascii="Arial" w:cs="Arial" w:eastAsia="Arial" w:hAnsi="Arial"/>
          <w:sz w:val="16"/>
          <w:szCs w:val="16"/>
          <w:color w:val="auto"/>
        </w:rPr>
        <w:t>The following table provides quantitative disclosure of the estimated payments that would be made under the employment or severance agreements to our named executive officers, as of December 31, 2025, the last day of our fiscal year 2025, assuming that:</w:t>
      </w:r>
    </w:p>
    <w:p>
      <w:pPr>
        <w:spacing w:after="0" w:line="49" w:lineRule="exact"/>
        <w:rPr>
          <w:sz w:val="20"/>
          <w:szCs w:val="20"/>
          <w:color w:val="auto"/>
        </w:rPr>
      </w:pPr>
    </w:p>
    <w:p>
      <w:pPr>
        <w:ind w:left="940" w:right="760" w:hanging="178"/>
        <w:spacing w:after="0" w:line="304"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named executive officer’s employment with us was terminated and an event which constituted a “change in control” or an “exchange transaction” under any agreement or plan described above both occurred on December 31, 2025;</w:t>
      </w:r>
    </w:p>
    <w:p>
      <w:pPr>
        <w:spacing w:after="0" w:line="46" w:lineRule="exact"/>
        <w:rPr>
          <w:rFonts w:ascii="Arial" w:cs="Arial" w:eastAsia="Arial" w:hAnsi="Arial"/>
          <w:sz w:val="16"/>
          <w:szCs w:val="16"/>
          <w:color w:val="auto"/>
        </w:rPr>
      </w:pPr>
    </w:p>
    <w:p>
      <w:pPr>
        <w:ind w:left="940" w:right="760" w:hanging="178"/>
        <w:spacing w:after="0" w:line="286"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amounts payable to each named executive officer would not subject such person to excise tax under Section 4999 of the Code and the Company would not be denied a deduction under Section 280G of the Code;</w:t>
      </w:r>
    </w:p>
    <w:p>
      <w:pPr>
        <w:spacing w:after="0" w:line="61" w:lineRule="exact"/>
        <w:rPr>
          <w:rFonts w:ascii="Arial" w:cs="Arial" w:eastAsia="Arial" w:hAnsi="Arial"/>
          <w:sz w:val="16"/>
          <w:szCs w:val="16"/>
          <w:color w:val="auto"/>
        </w:rPr>
      </w:pPr>
    </w:p>
    <w:p>
      <w:pPr>
        <w:ind w:left="940" w:right="760" w:hanging="178"/>
        <w:spacing w:after="0" w:line="304"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base salary earned by each named executive officer for such named executive officer’s services to us through December 31, 2025 has been fully paid to such named executive officer;</w:t>
      </w:r>
    </w:p>
    <w:p>
      <w:pPr>
        <w:spacing w:after="0" w:line="33" w:lineRule="exact"/>
        <w:rPr>
          <w:rFonts w:ascii="Arial" w:cs="Arial" w:eastAsia="Arial" w:hAnsi="Arial"/>
          <w:sz w:val="16"/>
          <w:szCs w:val="16"/>
          <w:color w:val="auto"/>
        </w:rPr>
      </w:pPr>
    </w:p>
    <w:p>
      <w:pPr>
        <w:ind w:left="940" w:right="780" w:hanging="178"/>
        <w:spacing w:after="0" w:line="304"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Board determined that the annual bonus for 2025 that would have been earned by each of Messrs. Karam, Khouri, Montrone, Blasquez and Pechersky was equal to the actual bonus awarded to such named executive officer for 2025;</w:t>
      </w:r>
    </w:p>
    <w:p>
      <w:pPr>
        <w:spacing w:after="0" w:line="46" w:lineRule="exact"/>
        <w:rPr>
          <w:rFonts w:ascii="Arial" w:cs="Arial" w:eastAsia="Arial" w:hAnsi="Arial"/>
          <w:sz w:val="16"/>
          <w:szCs w:val="16"/>
          <w:color w:val="auto"/>
        </w:rPr>
      </w:pPr>
    </w:p>
    <w:p>
      <w:pPr>
        <w:jc w:val="both"/>
        <w:ind w:left="940" w:right="760" w:hanging="178"/>
        <w:spacing w:after="0" w:line="275"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with respect to equity-based awards awarded pursuant to the 2021 Plan and certain prior equity plans, the Board does not direct such outstanding awards to be converted into awards with respect to shares of stock following the change in control or exchange;</w:t>
      </w:r>
    </w:p>
    <w:p>
      <w:pPr>
        <w:spacing w:after="0" w:line="56" w:lineRule="exact"/>
        <w:rPr>
          <w:rFonts w:ascii="Arial" w:cs="Arial" w:eastAsia="Arial" w:hAnsi="Arial"/>
          <w:sz w:val="16"/>
          <w:szCs w:val="16"/>
          <w:color w:val="auto"/>
        </w:rPr>
      </w:pPr>
    </w:p>
    <w:p>
      <w:pPr>
        <w:ind w:left="940" w:right="780" w:hanging="178"/>
        <w:spacing w:after="0" w:line="304"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outstanding equity-based awards held by our named executive officers that vested prior to December 31, 2025 were exercised and distributed on December 31, 2025;</w:t>
      </w:r>
    </w:p>
    <w:p>
      <w:pPr>
        <w:spacing w:after="0" w:line="46" w:lineRule="exact"/>
        <w:rPr>
          <w:rFonts w:ascii="Arial" w:cs="Arial" w:eastAsia="Arial" w:hAnsi="Arial"/>
          <w:sz w:val="16"/>
          <w:szCs w:val="16"/>
          <w:color w:val="auto"/>
        </w:rPr>
      </w:pPr>
    </w:p>
    <w:p>
      <w:pPr>
        <w:jc w:val="both"/>
        <w:ind w:left="940" w:right="760" w:hanging="178"/>
        <w:spacing w:after="0" w:line="271"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the extent not otherwise terminated in connection with the named executive officer’s termination, each of our named executive officers sold the shares of our common stock underlying their previously unvested equity-based awards (at the target level of performance for performance stock units) at the closing price for shares of our common stock on the Nasdaq Global Select Market on December 31, 2025, which was $17.56; and</w:t>
      </w:r>
    </w:p>
    <w:p>
      <w:pPr>
        <w:spacing w:after="0" w:line="59" w:lineRule="exact"/>
        <w:rPr>
          <w:rFonts w:ascii="Arial" w:cs="Arial" w:eastAsia="Arial" w:hAnsi="Arial"/>
          <w:sz w:val="16"/>
          <w:szCs w:val="16"/>
          <w:color w:val="auto"/>
        </w:rPr>
      </w:pPr>
    </w:p>
    <w:p>
      <w:pPr>
        <w:ind w:left="940" w:right="780" w:hanging="178"/>
        <w:spacing w:after="0" w:line="304"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current named executive officer is retirement-eligible (defined as attaining age 60 with at least five years of continuous service) for the outstanding equity-based awards.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auto"/>
              </w:rPr>
              <w:t>Cash</w:t>
            </w:r>
          </w:p>
        </w:tc>
        <w:tc>
          <w:tcPr>
            <w:tcW w:w="100" w:type="dxa"/>
            <w:vAlign w:val="bottom"/>
          </w:tcPr>
          <w:p>
            <w:pPr>
              <w:spacing w:after="0"/>
              <w:rPr>
                <w:sz w:val="16"/>
                <w:szCs w:val="16"/>
                <w:color w:val="auto"/>
              </w:rPr>
            </w:pPr>
          </w:p>
        </w:tc>
        <w:tc>
          <w:tcPr>
            <w:tcW w:w="1060" w:type="dxa"/>
            <w:vAlign w:val="bottom"/>
            <w:gridSpan w:val="3"/>
          </w:tcPr>
          <w:p>
            <w:pPr>
              <w:jc w:val="right"/>
              <w:ind w:right="24"/>
              <w:spacing w:after="0"/>
              <w:rPr>
                <w:sz w:val="20"/>
                <w:szCs w:val="20"/>
                <w:color w:val="auto"/>
              </w:rPr>
            </w:pPr>
            <w:r>
              <w:rPr>
                <w:rFonts w:ascii="Arial" w:cs="Arial" w:eastAsia="Arial" w:hAnsi="Arial"/>
                <w:sz w:val="15"/>
                <w:szCs w:val="15"/>
                <w:b w:val="1"/>
                <w:bCs w:val="1"/>
                <w:color w:val="auto"/>
              </w:rPr>
              <w:t>Continuation</w:t>
            </w: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Acceleration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auto"/>
              </w:rPr>
              <w:t>Total</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4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Severance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of Medical</w:t>
            </w: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of Outstanding</w:t>
            </w:r>
          </w:p>
        </w:tc>
        <w:tc>
          <w:tcPr>
            <w:tcW w:w="160" w:type="dxa"/>
            <w:vAlign w:val="bottom"/>
          </w:tcPr>
          <w:p>
            <w:pPr>
              <w:spacing w:after="0"/>
              <w:rPr>
                <w:sz w:val="15"/>
                <w:szCs w:val="15"/>
                <w:color w:val="auto"/>
              </w:rPr>
            </w:pPr>
          </w:p>
        </w:tc>
        <w:tc>
          <w:tcPr>
            <w:tcW w:w="106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Termination</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4340" w:type="dxa"/>
            <w:vAlign w:val="bottom"/>
            <w:gridSpan w:val="2"/>
          </w:tcPr>
          <w:p>
            <w:pPr>
              <w:ind w:left="80"/>
              <w:spacing w:after="0" w:line="167" w:lineRule="exact"/>
              <w:rPr>
                <w:sz w:val="20"/>
                <w:szCs w:val="20"/>
                <w:color w:val="auto"/>
              </w:rPr>
            </w:pPr>
            <w:r>
              <w:rPr>
                <w:rFonts w:ascii="Arial" w:cs="Arial" w:eastAsia="Arial" w:hAnsi="Arial"/>
                <w:sz w:val="15"/>
                <w:szCs w:val="15"/>
                <w:b w:val="1"/>
                <w:bCs w:val="1"/>
                <w:color w:val="auto"/>
              </w:rPr>
              <w:t>Name</w:t>
            </w:r>
            <w:r>
              <w:rPr>
                <w:rFonts w:ascii="Arial" w:cs="Arial" w:eastAsia="Arial" w:hAnsi="Arial"/>
                <w:sz w:val="19"/>
                <w:szCs w:val="19"/>
                <w:b w:val="1"/>
                <w:bCs w:val="1"/>
                <w:color w:val="auto"/>
                <w:vertAlign w:val="superscript"/>
              </w:rPr>
              <w:t>(1)</w:t>
            </w:r>
          </w:p>
        </w:tc>
        <w:tc>
          <w:tcPr>
            <w:tcW w:w="4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jc w:val="right"/>
              <w:ind w:right="44"/>
              <w:spacing w:after="0" w:line="167" w:lineRule="exact"/>
              <w:rPr>
                <w:sz w:val="20"/>
                <w:szCs w:val="20"/>
                <w:color w:val="auto"/>
              </w:rPr>
            </w:pPr>
            <w:r>
              <w:rPr>
                <w:rFonts w:ascii="Arial" w:cs="Arial" w:eastAsia="Arial" w:hAnsi="Arial"/>
                <w:sz w:val="15"/>
                <w:szCs w:val="15"/>
                <w:b w:val="1"/>
                <w:bCs w:val="1"/>
                <w:color w:val="auto"/>
              </w:rPr>
              <w:t>Payout</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24"/>
              <w:spacing w:after="0" w:line="167" w:lineRule="exact"/>
              <w:rPr>
                <w:sz w:val="20"/>
                <w:szCs w:val="20"/>
                <w:color w:val="auto"/>
              </w:rPr>
            </w:pPr>
            <w:r>
              <w:rPr>
                <w:rFonts w:ascii="Arial" w:cs="Arial" w:eastAsia="Arial" w:hAnsi="Arial"/>
                <w:sz w:val="15"/>
                <w:szCs w:val="15"/>
                <w:b w:val="1"/>
                <w:bCs w:val="1"/>
                <w:color w:val="auto"/>
              </w:rPr>
              <w:t>Benefits</w:t>
            </w:r>
            <w:r>
              <w:rPr>
                <w:rFonts w:ascii="Arial" w:cs="Arial" w:eastAsia="Arial" w:hAnsi="Arial"/>
                <w:sz w:val="19"/>
                <w:szCs w:val="19"/>
                <w:b w:val="1"/>
                <w:bCs w:val="1"/>
                <w:color w:val="auto"/>
                <w:vertAlign w:val="superscript"/>
              </w:rPr>
              <w:t>(2)</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Awards</w:t>
            </w:r>
          </w:p>
        </w:tc>
        <w:tc>
          <w:tcPr>
            <w:tcW w:w="1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w:t>
            </w:r>
          </w:p>
        </w:tc>
        <w:tc>
          <w:tcPr>
            <w:tcW w:w="24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44"/>
              <w:spacing w:after="0" w:line="167" w:lineRule="exact"/>
              <w:rPr>
                <w:sz w:val="20"/>
                <w:szCs w:val="20"/>
                <w:color w:val="auto"/>
              </w:rPr>
            </w:pPr>
            <w:r>
              <w:rPr>
                <w:rFonts w:ascii="Arial" w:cs="Arial" w:eastAsia="Arial" w:hAnsi="Arial"/>
                <w:sz w:val="15"/>
                <w:szCs w:val="15"/>
                <w:b w:val="1"/>
                <w:bCs w:val="1"/>
                <w:color w:val="auto"/>
              </w:rPr>
              <w:t>Benefits</w:t>
            </w:r>
          </w:p>
        </w:tc>
        <w:tc>
          <w:tcPr>
            <w:tcW w:w="76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200" w:type="dxa"/>
            <w:vAlign w:val="bottom"/>
            <w:tcBorders>
              <w:bottom w:val="single" w:sz="8" w:color="auto"/>
            </w:tcBorders>
          </w:tcPr>
          <w:p>
            <w:pPr>
              <w:ind w:left="80"/>
              <w:spacing w:after="0" w:line="68" w:lineRule="exact"/>
              <w:rPr>
                <w:sz w:val="20"/>
                <w:szCs w:val="20"/>
                <w:color w:val="auto"/>
              </w:rPr>
            </w:pPr>
            <w:r>
              <w:rPr>
                <w:rFonts w:ascii="Arial" w:cs="Arial" w:eastAsia="Arial" w:hAnsi="Arial"/>
                <w:sz w:val="7"/>
                <w:szCs w:val="7"/>
                <w:b w:val="1"/>
                <w:bCs w:val="1"/>
                <w:color w:val="auto"/>
              </w:rPr>
              <w:t>​</w:t>
            </w:r>
          </w:p>
        </w:tc>
        <w:tc>
          <w:tcPr>
            <w:tcW w:w="4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340" w:type="dxa"/>
            <w:vAlign w:val="bottom"/>
            <w:gridSpan w:val="2"/>
            <w:shd w:val="clear" w:color="auto" w:fill="E5E5E5"/>
          </w:tcPr>
          <w:p>
            <w:pPr>
              <w:ind w:left="40"/>
              <w:spacing w:after="0"/>
              <w:rPr>
                <w:sz w:val="20"/>
                <w:szCs w:val="20"/>
                <w:color w:val="auto"/>
              </w:rPr>
            </w:pPr>
            <w:r>
              <w:rPr>
                <w:rFonts w:ascii="Arial" w:cs="Arial" w:eastAsia="Arial" w:hAnsi="Arial"/>
                <w:sz w:val="15"/>
                <w:szCs w:val="15"/>
                <w:b w:val="1"/>
                <w:bCs w:val="1"/>
                <w:color w:val="auto"/>
              </w:rPr>
              <w:t>​Fahmi Karam</w:t>
            </w:r>
          </w:p>
        </w:tc>
        <w:tc>
          <w:tcPr>
            <w:tcW w:w="420" w:type="dxa"/>
            <w:vAlign w:val="bottom"/>
            <w:shd w:val="clear" w:color="auto" w:fill="E5E5E5"/>
          </w:tcPr>
          <w:p>
            <w:pPr>
              <w:ind w:left="100"/>
              <w:spacing w:after="0"/>
              <w:rPr>
                <w:sz w:val="20"/>
                <w:szCs w:val="20"/>
                <w:color w:val="auto"/>
              </w:rPr>
            </w:pPr>
            <w:r>
              <w:rPr>
                <w:rFonts w:ascii="Arial" w:cs="Arial" w:eastAsia="Arial" w:hAnsi="Arial"/>
                <w:sz w:val="15"/>
                <w:szCs w:val="15"/>
                <w:b w:val="1"/>
                <w:bCs w:val="1"/>
                <w:color w:val="auto"/>
              </w:rPr>
              <w:t>​ ​​ ​</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5"/>
                <w:szCs w:val="15"/>
                <w:b w:val="1"/>
                <w:bCs w:val="1"/>
                <w:color w:val="auto"/>
              </w:rPr>
              <w:t>​​ ​</w:t>
            </w:r>
          </w:p>
        </w:tc>
        <w:tc>
          <w:tcPr>
            <w:tcW w:w="120" w:type="dxa"/>
            <w:vAlign w:val="bottom"/>
            <w:shd w:val="clear" w:color="auto" w:fill="E5E5E5"/>
          </w:tcPr>
          <w:p>
            <w:pPr>
              <w:spacing w:after="0"/>
              <w:rPr>
                <w:sz w:val="19"/>
                <w:szCs w:val="19"/>
                <w:color w:val="auto"/>
              </w:rPr>
            </w:pPr>
          </w:p>
        </w:tc>
        <w:tc>
          <w:tcPr>
            <w:tcW w:w="360" w:type="dxa"/>
            <w:vAlign w:val="bottom"/>
            <w:shd w:val="clear" w:color="auto" w:fill="E5E5E5"/>
          </w:tcPr>
          <w:p>
            <w:pPr>
              <w:ind w:left="200"/>
              <w:spacing w:after="0"/>
              <w:rPr>
                <w:sz w:val="20"/>
                <w:szCs w:val="20"/>
                <w:color w:val="auto"/>
              </w:rPr>
            </w:pPr>
            <w:r>
              <w:rPr>
                <w:rFonts w:ascii="Arial" w:cs="Arial" w:eastAsia="Arial" w:hAnsi="Arial"/>
                <w:sz w:val="15"/>
                <w:szCs w:val="15"/>
                <w:b w:val="1"/>
                <w:bCs w:val="1"/>
                <w:color w:val="auto"/>
              </w:rPr>
              <w:t>​ ​</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5"/>
                <w:szCs w:val="15"/>
                <w:b w:val="1"/>
                <w:bCs w:val="1"/>
                <w:color w:val="auto"/>
              </w:rPr>
              <w:t>​​ ​</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b w:val="1"/>
                <w:bCs w:val="1"/>
                <w:color w:val="auto"/>
              </w:rPr>
              <w:t>​ ​</w:t>
            </w:r>
          </w:p>
        </w:tc>
        <w:tc>
          <w:tcPr>
            <w:tcW w:w="7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340" w:type="dxa"/>
            <w:vAlign w:val="bottom"/>
            <w:gridSpan w:val="2"/>
          </w:tcPr>
          <w:p>
            <w:pPr>
              <w:ind w:left="80"/>
              <w:spacing w:after="0"/>
              <w:rPr>
                <w:sz w:val="20"/>
                <w:szCs w:val="20"/>
                <w:color w:val="auto"/>
              </w:rPr>
            </w:pPr>
            <w:r>
              <w:rPr>
                <w:rFonts w:ascii="Arial" w:cs="Arial" w:eastAsia="Arial" w:hAnsi="Arial"/>
                <w:sz w:val="15"/>
                <w:szCs w:val="15"/>
                <w:color w:val="auto"/>
              </w:rPr>
              <w:t>Termination by Us without “Cause” or by Mr. Karam for “Good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4140" w:type="dxa"/>
            <w:vAlign w:val="bottom"/>
          </w:tcPr>
          <w:p>
            <w:pPr>
              <w:ind w:left="40"/>
              <w:spacing w:after="0"/>
              <w:rPr>
                <w:sz w:val="20"/>
                <w:szCs w:val="20"/>
                <w:color w:val="auto"/>
              </w:rPr>
            </w:pPr>
            <w:r>
              <w:rPr>
                <w:rFonts w:ascii="Arial" w:cs="Arial" w:eastAsia="Arial" w:hAnsi="Arial"/>
                <w:sz w:val="15"/>
                <w:szCs w:val="15"/>
                <w:color w:val="auto"/>
              </w:rPr>
              <w:t>Reason”</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 ​​$  6,721,000​​ ​</w:t>
            </w:r>
          </w:p>
        </w:tc>
        <w:tc>
          <w:tcPr>
            <w:tcW w:w="1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  56,462​​ ​</w:t>
            </w:r>
          </w:p>
        </w:tc>
        <w:tc>
          <w:tcPr>
            <w:tcW w:w="2340" w:type="dxa"/>
            <w:vAlign w:val="bottom"/>
            <w:gridSpan w:val="5"/>
          </w:tcPr>
          <w:p>
            <w:pPr>
              <w:jc w:val="right"/>
              <w:spacing w:after="0"/>
              <w:rPr>
                <w:sz w:val="20"/>
                <w:szCs w:val="20"/>
                <w:color w:val="auto"/>
              </w:rPr>
            </w:pPr>
            <w:r>
              <w:rPr>
                <w:rFonts w:ascii="Arial" w:cs="Arial" w:eastAsia="Arial" w:hAnsi="Arial"/>
                <w:sz w:val="15"/>
                <w:szCs w:val="15"/>
                <w:color w:val="auto"/>
              </w:rPr>
              <w:t>​$  1,522,232​​ ​ ​$  8,299,694​​</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340" w:type="dxa"/>
            <w:vAlign w:val="bottom"/>
            <w:gridSpan w:val="2"/>
            <w:shd w:val="clear" w:color="auto" w:fill="E5E5E5"/>
          </w:tcPr>
          <w:p>
            <w:pPr>
              <w:ind w:left="80"/>
              <w:spacing w:after="0"/>
              <w:rPr>
                <w:sz w:val="20"/>
                <w:szCs w:val="20"/>
                <w:color w:val="auto"/>
              </w:rPr>
            </w:pPr>
            <w:r>
              <w:rPr>
                <w:rFonts w:ascii="Arial" w:cs="Arial" w:eastAsia="Arial" w:hAnsi="Arial"/>
                <w:sz w:val="15"/>
                <w:szCs w:val="15"/>
                <w:color w:val="auto"/>
              </w:rPr>
              <w:t>Termination by Us for “Cause” or by Mr. Karam without “Good</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0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140" w:type="dxa"/>
            <w:vAlign w:val="bottom"/>
            <w:shd w:val="clear" w:color="auto" w:fill="E5E5E5"/>
          </w:tcPr>
          <w:p>
            <w:pPr>
              <w:ind w:left="40"/>
              <w:spacing w:after="0"/>
              <w:rPr>
                <w:sz w:val="20"/>
                <w:szCs w:val="20"/>
                <w:color w:val="auto"/>
              </w:rPr>
            </w:pPr>
            <w:r>
              <w:rPr>
                <w:rFonts w:ascii="Arial" w:cs="Arial" w:eastAsia="Arial" w:hAnsi="Arial"/>
                <w:sz w:val="15"/>
                <w:szCs w:val="15"/>
                <w:color w:val="auto"/>
              </w:rPr>
              <w:t>Reason”</w:t>
            </w:r>
          </w:p>
        </w:tc>
        <w:tc>
          <w:tcPr>
            <w:tcW w:w="420" w:type="dxa"/>
            <w:vAlign w:val="bottom"/>
            <w:shd w:val="clear" w:color="auto" w:fill="E5E5E5"/>
          </w:tcPr>
          <w:p>
            <w:pPr>
              <w:ind w:left="100"/>
              <w:spacing w:after="0"/>
              <w:rPr>
                <w:sz w:val="20"/>
                <w:szCs w:val="20"/>
                <w:color w:val="auto"/>
              </w:rPr>
            </w:pPr>
            <w:r>
              <w:rPr>
                <w:rFonts w:ascii="Arial" w:cs="Arial" w:eastAsia="Arial" w:hAnsi="Arial"/>
                <w:sz w:val="15"/>
                <w:szCs w:val="15"/>
                <w:color w:val="auto"/>
              </w:rPr>
              <w:t>​ ​​$</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ind w:lef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E5E5E5"/>
          </w:tcPr>
          <w:p>
            <w:pPr>
              <w:jc w:val="right"/>
              <w:spacing w:after="0"/>
              <w:rPr>
                <w:sz w:val="20"/>
                <w:szCs w:val="20"/>
                <w:color w:val="auto"/>
              </w:rPr>
            </w:pPr>
            <w:r>
              <w:rPr>
                <w:rFonts w:ascii="Arial" w:cs="Arial" w:eastAsia="Arial" w:hAnsi="Arial"/>
                <w:sz w:val="15"/>
                <w:szCs w:val="15"/>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340" w:type="dxa"/>
            <w:vAlign w:val="bottom"/>
            <w:tcBorders>
              <w:bottom w:val="single" w:sz="8" w:color="auto"/>
            </w:tcBorders>
            <w:gridSpan w:val="2"/>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Termination due to Mr. Karam’s disability or death</w:t>
            </w:r>
          </w:p>
        </w:tc>
        <w:tc>
          <w:tcPr>
            <w:tcW w:w="420" w:type="dxa"/>
            <w:vAlign w:val="bottom"/>
            <w:tcBorders>
              <w:bottom w:val="single" w:sz="8" w:color="auto"/>
            </w:tcBorders>
          </w:tcPr>
          <w:p>
            <w:pPr>
              <w:ind w:left="100"/>
              <w:spacing w:after="0" w:line="243"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2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15"/>
                <w:szCs w:val="15"/>
                <w:color w:val="auto"/>
              </w:rPr>
              <w:t>1,221,000</w:t>
            </w:r>
            <w:r>
              <w:rPr>
                <w:rFonts w:ascii="Arial" w:cs="Arial" w:eastAsia="Arial" w:hAnsi="Arial"/>
                <w:sz w:val="28"/>
                <w:szCs w:val="28"/>
                <w:color w:val="auto"/>
                <w:vertAlign w:val="subscript"/>
              </w:rPr>
              <w:t>​​ ​</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$ 56,462</w:t>
            </w:r>
            <w:r>
              <w:rPr>
                <w:rFonts w:ascii="Arial" w:cs="Arial" w:eastAsia="Arial" w:hAnsi="Arial"/>
                <w:sz w:val="28"/>
                <w:szCs w:val="28"/>
                <w:color w:val="auto"/>
                <w:vertAlign w:val="subscript"/>
              </w:rPr>
              <w:t>​​ ​</w:t>
            </w:r>
          </w:p>
        </w:tc>
        <w:tc>
          <w:tcPr>
            <w:tcW w:w="420" w:type="dxa"/>
            <w:vAlign w:val="bottom"/>
            <w:tcBorders>
              <w:bottom w:val="single" w:sz="8" w:color="auto"/>
            </w:tcBorders>
          </w:tcPr>
          <w:p>
            <w:pPr>
              <w:ind w:left="260"/>
              <w:spacing w:after="0" w:line="243"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00" w:type="dxa"/>
            <w:vAlign w:val="bottom"/>
            <w:tcBorders>
              <w:bottom w:val="single" w:sz="8" w:color="auto"/>
            </w:tcBorders>
            <w:gridSpan w:val="3"/>
          </w:tcPr>
          <w:p>
            <w:pPr>
              <w:jc w:val="right"/>
              <w:spacing w:after="0" w:line="243" w:lineRule="exact"/>
              <w:rPr>
                <w:sz w:val="20"/>
                <w:szCs w:val="20"/>
                <w:color w:val="auto"/>
              </w:rPr>
            </w:pPr>
            <w:r>
              <w:rPr>
                <w:rFonts w:ascii="Arial" w:cs="Arial" w:eastAsia="Arial" w:hAnsi="Arial"/>
                <w:sz w:val="15"/>
                <w:szCs w:val="15"/>
                <w:color w:val="auto"/>
              </w:rPr>
              <w:t>4,794,872</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5"/>
                <w:szCs w:val="15"/>
                <w:color w:val="auto"/>
              </w:rPr>
              <w:t>6,072,334</w:t>
            </w:r>
            <w:r>
              <w:rPr>
                <w:rFonts w:ascii="Arial" w:cs="Arial" w:eastAsia="Arial" w:hAnsi="Arial"/>
                <w:sz w:val="28"/>
                <w:szCs w:val="28"/>
                <w:color w:val="auto"/>
                <w:vertAlign w:val="subscript"/>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4340" w:type="dxa"/>
            <w:vAlign w:val="bottom"/>
            <w:gridSpan w:val="2"/>
            <w:shd w:val="clear" w:color="auto" w:fill="E5E5E5"/>
          </w:tcPr>
          <w:p>
            <w:pPr>
              <w:ind w:left="40"/>
              <w:spacing w:after="0"/>
              <w:rPr>
                <w:sz w:val="20"/>
                <w:szCs w:val="20"/>
                <w:color w:val="auto"/>
              </w:rPr>
            </w:pPr>
            <w:r>
              <w:rPr>
                <w:rFonts w:ascii="Arial" w:cs="Arial" w:eastAsia="Arial" w:hAnsi="Arial"/>
                <w:sz w:val="15"/>
                <w:szCs w:val="15"/>
                <w:b w:val="1"/>
                <w:bCs w:val="1"/>
                <w:color w:val="auto"/>
              </w:rPr>
              <w:t>​Hal Khouri</w:t>
            </w:r>
          </w:p>
        </w:tc>
        <w:tc>
          <w:tcPr>
            <w:tcW w:w="420" w:type="dxa"/>
            <w:vAlign w:val="bottom"/>
            <w:shd w:val="clear" w:color="auto" w:fill="E5E5E5"/>
          </w:tcPr>
          <w:p>
            <w:pPr>
              <w:ind w:left="100"/>
              <w:spacing w:after="0"/>
              <w:rPr>
                <w:sz w:val="20"/>
                <w:szCs w:val="20"/>
                <w:color w:val="auto"/>
              </w:rPr>
            </w:pPr>
            <w:r>
              <w:rPr>
                <w:rFonts w:ascii="Arial" w:cs="Arial" w:eastAsia="Arial" w:hAnsi="Arial"/>
                <w:sz w:val="15"/>
                <w:szCs w:val="15"/>
                <w:b w:val="1"/>
                <w:bCs w:val="1"/>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E5E5E5"/>
          </w:tcPr>
          <w:p>
            <w:pPr>
              <w:spacing w:after="0"/>
              <w:rPr>
                <w:sz w:val="20"/>
                <w:szCs w:val="20"/>
                <w:color w:val="auto"/>
              </w:rPr>
            </w:pPr>
          </w:p>
        </w:tc>
        <w:tc>
          <w:tcPr>
            <w:tcW w:w="360" w:type="dxa"/>
            <w:vAlign w:val="bottom"/>
            <w:shd w:val="clear" w:color="auto" w:fill="E5E5E5"/>
          </w:tcPr>
          <w:p>
            <w:pPr>
              <w:ind w:left="200"/>
              <w:spacing w:after="0"/>
              <w:rPr>
                <w:sz w:val="20"/>
                <w:szCs w:val="20"/>
                <w:color w:val="auto"/>
              </w:rPr>
            </w:pPr>
            <w:r>
              <w:rPr>
                <w:rFonts w:ascii="Arial" w:cs="Arial" w:eastAsia="Arial" w:hAnsi="Arial"/>
                <w:sz w:val="15"/>
                <w:szCs w:val="15"/>
                <w:b w:val="1"/>
                <w:bCs w:val="1"/>
                <w:color w:val="auto"/>
              </w:rPr>
              <w:t>​ ​</w:t>
            </w:r>
          </w:p>
        </w:tc>
        <w:tc>
          <w:tcPr>
            <w:tcW w:w="58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b w:val="1"/>
                <w:bCs w:val="1"/>
                <w:color w:val="auto"/>
              </w:rPr>
              <w:t>​ ​</w:t>
            </w:r>
          </w:p>
        </w:tc>
        <w:tc>
          <w:tcPr>
            <w:tcW w:w="7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4340" w:type="dxa"/>
            <w:vAlign w:val="bottom"/>
            <w:gridSpan w:val="2"/>
          </w:tcPr>
          <w:p>
            <w:pPr>
              <w:ind w:left="80"/>
              <w:spacing w:after="0"/>
              <w:rPr>
                <w:sz w:val="20"/>
                <w:szCs w:val="20"/>
                <w:color w:val="auto"/>
              </w:rPr>
            </w:pPr>
            <w:r>
              <w:rPr>
                <w:rFonts w:ascii="Arial" w:cs="Arial" w:eastAsia="Arial" w:hAnsi="Arial"/>
                <w:sz w:val="15"/>
                <w:szCs w:val="15"/>
                <w:color w:val="auto"/>
              </w:rPr>
              <w:t>Termination by Us without “Cause” or by Mr. Khouri for “Good</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4140" w:type="dxa"/>
            <w:vAlign w:val="bottom"/>
          </w:tcPr>
          <w:p>
            <w:pPr>
              <w:ind w:left="40"/>
              <w:spacing w:after="0"/>
              <w:rPr>
                <w:sz w:val="20"/>
                <w:szCs w:val="20"/>
                <w:color w:val="auto"/>
              </w:rPr>
            </w:pPr>
            <w:r>
              <w:rPr>
                <w:rFonts w:ascii="Arial" w:cs="Arial" w:eastAsia="Arial" w:hAnsi="Arial"/>
                <w:sz w:val="15"/>
                <w:szCs w:val="15"/>
                <w:color w:val="auto"/>
              </w:rPr>
              <w:t>Reason”</w:t>
            </w:r>
          </w:p>
        </w:tc>
        <w:tc>
          <w:tcPr>
            <w:tcW w:w="420" w:type="dxa"/>
            <w:vAlign w:val="bottom"/>
          </w:tcPr>
          <w:p>
            <w:pPr>
              <w:ind w:left="100"/>
              <w:spacing w:after="0"/>
              <w:rPr>
                <w:sz w:val="20"/>
                <w:szCs w:val="20"/>
                <w:color w:val="auto"/>
              </w:rPr>
            </w:pPr>
            <w:r>
              <w:rPr>
                <w:rFonts w:ascii="Arial" w:cs="Arial" w:eastAsia="Arial" w:hAnsi="Arial"/>
                <w:sz w:val="15"/>
                <w:szCs w:val="15"/>
                <w:color w:val="auto"/>
              </w:rPr>
              <w:t>​ ​​$</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1,574,775​​ ​</w:t>
            </w:r>
          </w:p>
        </w:tc>
        <w:tc>
          <w:tcPr>
            <w:tcW w:w="12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14,655​​ ​</w:t>
            </w:r>
          </w:p>
        </w:tc>
        <w:tc>
          <w:tcPr>
            <w:tcW w:w="420" w:type="dxa"/>
            <w:vAlign w:val="bottom"/>
          </w:tcPr>
          <w:p>
            <w:pPr>
              <w:ind w:left="260"/>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1,469,860​​ ​ ​$</w:t>
            </w:r>
          </w:p>
        </w:tc>
        <w:tc>
          <w:tcPr>
            <w:tcW w:w="820" w:type="dxa"/>
            <w:vAlign w:val="bottom"/>
          </w:tcPr>
          <w:p>
            <w:pPr>
              <w:jc w:val="right"/>
              <w:spacing w:after="0"/>
              <w:rPr>
                <w:sz w:val="20"/>
                <w:szCs w:val="20"/>
                <w:color w:val="auto"/>
              </w:rPr>
            </w:pPr>
            <w:r>
              <w:rPr>
                <w:rFonts w:ascii="Arial" w:cs="Arial" w:eastAsia="Arial" w:hAnsi="Arial"/>
                <w:sz w:val="15"/>
                <w:szCs w:val="15"/>
                <w:color w:val="auto"/>
              </w:rPr>
              <w:t>3,059,290​​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4340" w:type="dxa"/>
            <w:vAlign w:val="bottom"/>
            <w:gridSpan w:val="2"/>
            <w:shd w:val="clear" w:color="auto" w:fill="E5E5E5"/>
          </w:tcPr>
          <w:p>
            <w:pPr>
              <w:ind w:left="80"/>
              <w:spacing w:after="0"/>
              <w:rPr>
                <w:sz w:val="20"/>
                <w:szCs w:val="20"/>
                <w:color w:val="auto"/>
              </w:rPr>
            </w:pPr>
            <w:r>
              <w:rPr>
                <w:rFonts w:ascii="Arial" w:cs="Arial" w:eastAsia="Arial" w:hAnsi="Arial"/>
                <w:sz w:val="15"/>
                <w:szCs w:val="15"/>
                <w:color w:val="auto"/>
              </w:rPr>
              <w:t>Termination by Us for “Cause” or by Mr. Khouri without “Good</w:t>
            </w:r>
          </w:p>
        </w:tc>
        <w:tc>
          <w:tcPr>
            <w:tcW w:w="42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0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140" w:type="dxa"/>
            <w:vAlign w:val="bottom"/>
            <w:shd w:val="clear" w:color="auto" w:fill="E5E5E5"/>
          </w:tcPr>
          <w:p>
            <w:pPr>
              <w:ind w:left="40"/>
              <w:spacing w:after="0"/>
              <w:rPr>
                <w:sz w:val="20"/>
                <w:szCs w:val="20"/>
                <w:color w:val="auto"/>
              </w:rPr>
            </w:pPr>
            <w:r>
              <w:rPr>
                <w:rFonts w:ascii="Arial" w:cs="Arial" w:eastAsia="Arial" w:hAnsi="Arial"/>
                <w:sz w:val="15"/>
                <w:szCs w:val="15"/>
                <w:color w:val="auto"/>
              </w:rPr>
              <w:t>Reason”</w:t>
            </w:r>
          </w:p>
        </w:tc>
        <w:tc>
          <w:tcPr>
            <w:tcW w:w="420" w:type="dxa"/>
            <w:vAlign w:val="bottom"/>
            <w:shd w:val="clear" w:color="auto" w:fill="E5E5E5"/>
          </w:tcPr>
          <w:p>
            <w:pPr>
              <w:ind w:left="100"/>
              <w:spacing w:after="0"/>
              <w:rPr>
                <w:sz w:val="20"/>
                <w:szCs w:val="20"/>
                <w:color w:val="auto"/>
              </w:rPr>
            </w:pPr>
            <w:r>
              <w:rPr>
                <w:rFonts w:ascii="Arial" w:cs="Arial" w:eastAsia="Arial" w:hAnsi="Arial"/>
                <w:sz w:val="15"/>
                <w:szCs w:val="15"/>
                <w:color w:val="auto"/>
              </w:rPr>
              <w:t>​ ​​$</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ind w:lef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E5E5E5"/>
          </w:tcPr>
          <w:p>
            <w:pPr>
              <w:jc w:val="right"/>
              <w:spacing w:after="0"/>
              <w:rPr>
                <w:sz w:val="20"/>
                <w:szCs w:val="20"/>
                <w:color w:val="auto"/>
              </w:rPr>
            </w:pPr>
            <w:r>
              <w:rPr>
                <w:rFonts w:ascii="Arial" w:cs="Arial" w:eastAsia="Arial" w:hAnsi="Arial"/>
                <w:sz w:val="15"/>
                <w:szCs w:val="15"/>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4340" w:type="dxa"/>
            <w:vAlign w:val="bottom"/>
            <w:tcBorders>
              <w:bottom w:val="single" w:sz="8" w:color="auto"/>
            </w:tcBorders>
            <w:gridSpan w:val="2"/>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Termination due to Mr. Khouri’s disability or death</w:t>
            </w:r>
          </w:p>
        </w:tc>
        <w:tc>
          <w:tcPr>
            <w:tcW w:w="420" w:type="dxa"/>
            <w:vAlign w:val="bottom"/>
            <w:tcBorders>
              <w:bottom w:val="single" w:sz="8" w:color="auto"/>
            </w:tcBorders>
          </w:tcPr>
          <w:p>
            <w:pPr>
              <w:ind w:left="100"/>
              <w:spacing w:after="0" w:line="256" w:lineRule="exact"/>
              <w:rPr>
                <w:sz w:val="20"/>
                <w:szCs w:val="20"/>
                <w:color w:val="auto"/>
              </w:rPr>
            </w:pP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920" w:type="dxa"/>
            <w:vAlign w:val="bottom"/>
            <w:tcBorders>
              <w:bottom w:val="single" w:sz="8" w:color="auto"/>
            </w:tcBorders>
            <w:gridSpan w:val="2"/>
          </w:tcPr>
          <w:p>
            <w:pPr>
              <w:jc w:val="right"/>
              <w:spacing w:after="0" w:line="256" w:lineRule="exact"/>
              <w:rPr>
                <w:sz w:val="20"/>
                <w:szCs w:val="20"/>
                <w:color w:val="auto"/>
              </w:rPr>
            </w:pPr>
            <w:r>
              <w:rPr>
                <w:rFonts w:ascii="Arial" w:cs="Arial" w:eastAsia="Arial" w:hAnsi="Arial"/>
                <w:sz w:val="15"/>
                <w:szCs w:val="15"/>
                <w:color w:val="auto"/>
              </w:rPr>
              <w:t>224,775</w:t>
            </w:r>
            <w:r>
              <w:rPr>
                <w:rFonts w:ascii="Arial" w:cs="Arial" w:eastAsia="Arial" w:hAnsi="Arial"/>
                <w:sz w:val="29"/>
                <w:szCs w:val="29"/>
                <w:color w:val="auto"/>
                <w:vertAlign w:val="subscript"/>
              </w:rPr>
              <w:t>​​ ​</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20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700" w:type="dxa"/>
            <w:vAlign w:val="bottom"/>
            <w:tcBorders>
              <w:bottom w:val="single" w:sz="8" w:color="auto"/>
            </w:tcBorders>
            <w:gridSpan w:val="2"/>
          </w:tcPr>
          <w:p>
            <w:pPr>
              <w:jc w:val="right"/>
              <w:spacing w:after="0" w:line="256" w:lineRule="exact"/>
              <w:rPr>
                <w:sz w:val="20"/>
                <w:szCs w:val="20"/>
                <w:color w:val="auto"/>
              </w:rPr>
            </w:pPr>
            <w:r>
              <w:rPr>
                <w:rFonts w:ascii="Arial" w:cs="Arial" w:eastAsia="Arial" w:hAnsi="Arial"/>
                <w:sz w:val="15"/>
                <w:szCs w:val="15"/>
                <w:color w:val="auto"/>
              </w:rPr>
              <w:t>7,328</w:t>
            </w:r>
            <w:r>
              <w:rPr>
                <w:rFonts w:ascii="Arial" w:cs="Arial" w:eastAsia="Arial" w:hAnsi="Arial"/>
                <w:sz w:val="29"/>
                <w:szCs w:val="29"/>
                <w:color w:val="auto"/>
                <w:vertAlign w:val="subscript"/>
              </w:rPr>
              <w:t>​​ ​</w:t>
            </w:r>
          </w:p>
        </w:tc>
        <w:tc>
          <w:tcPr>
            <w:tcW w:w="420" w:type="dxa"/>
            <w:vAlign w:val="bottom"/>
            <w:tcBorders>
              <w:bottom w:val="single" w:sz="8" w:color="auto"/>
            </w:tcBorders>
          </w:tcPr>
          <w:p>
            <w:pPr>
              <w:ind w:left="26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1100" w:type="dxa"/>
            <w:vAlign w:val="bottom"/>
            <w:tcBorders>
              <w:bottom w:val="single" w:sz="8" w:color="auto"/>
            </w:tcBorders>
            <w:gridSpan w:val="3"/>
          </w:tcPr>
          <w:p>
            <w:pPr>
              <w:jc w:val="right"/>
              <w:spacing w:after="0" w:line="256" w:lineRule="exact"/>
              <w:rPr>
                <w:sz w:val="20"/>
                <w:szCs w:val="20"/>
                <w:color w:val="auto"/>
              </w:rPr>
            </w:pPr>
            <w:r>
              <w:rPr>
                <w:rFonts w:ascii="Arial" w:cs="Arial" w:eastAsia="Arial" w:hAnsi="Arial"/>
                <w:sz w:val="15"/>
                <w:szCs w:val="15"/>
                <w:color w:val="auto"/>
              </w:rPr>
              <w:t>1,469,860</w:t>
            </w:r>
            <w:r>
              <w:rPr>
                <w:rFonts w:ascii="Arial" w:cs="Arial" w:eastAsia="Arial" w:hAnsi="Arial"/>
                <w:sz w:val="29"/>
                <w:szCs w:val="29"/>
                <w:color w:val="auto"/>
                <w:vertAlign w:val="subscript"/>
              </w:rPr>
              <w:t>​​ ​ ​</w:t>
            </w: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5"/>
                <w:szCs w:val="15"/>
                <w:color w:val="auto"/>
              </w:rPr>
              <w:t>1,701,963</w:t>
            </w:r>
            <w:r>
              <w:rPr>
                <w:rFonts w:ascii="Arial" w:cs="Arial" w:eastAsia="Arial" w:hAnsi="Arial"/>
                <w:sz w:val="29"/>
                <w:szCs w:val="29"/>
                <w:color w:val="auto"/>
                <w:vertAlign w:val="subscript"/>
              </w:rPr>
              <w:t>​​</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340" w:type="dxa"/>
            <w:vAlign w:val="bottom"/>
            <w:gridSpan w:val="2"/>
            <w:shd w:val="clear" w:color="auto" w:fill="E5E5E5"/>
          </w:tcPr>
          <w:p>
            <w:pPr>
              <w:ind w:left="40"/>
              <w:spacing w:after="0"/>
              <w:rPr>
                <w:sz w:val="20"/>
                <w:szCs w:val="20"/>
                <w:color w:val="auto"/>
              </w:rPr>
            </w:pPr>
            <w:r>
              <w:rPr>
                <w:rFonts w:ascii="Arial" w:cs="Arial" w:eastAsia="Arial" w:hAnsi="Arial"/>
                <w:sz w:val="15"/>
                <w:szCs w:val="15"/>
                <w:b w:val="1"/>
                <w:bCs w:val="1"/>
                <w:color w:val="auto"/>
              </w:rPr>
              <w:t>​Tyler Montrone</w:t>
            </w:r>
          </w:p>
        </w:tc>
        <w:tc>
          <w:tcPr>
            <w:tcW w:w="420" w:type="dxa"/>
            <w:vAlign w:val="bottom"/>
            <w:shd w:val="clear" w:color="auto" w:fill="E5E5E5"/>
          </w:tcPr>
          <w:p>
            <w:pPr>
              <w:ind w:left="100"/>
              <w:spacing w:after="0"/>
              <w:rPr>
                <w:sz w:val="20"/>
                <w:szCs w:val="20"/>
                <w:color w:val="auto"/>
              </w:rPr>
            </w:pPr>
            <w:r>
              <w:rPr>
                <w:rFonts w:ascii="Arial" w:cs="Arial" w:eastAsia="Arial" w:hAnsi="Arial"/>
                <w:sz w:val="15"/>
                <w:szCs w:val="15"/>
                <w:b w:val="1"/>
                <w:bCs w:val="1"/>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E5E5E5"/>
          </w:tcPr>
          <w:p>
            <w:pPr>
              <w:spacing w:after="0"/>
              <w:rPr>
                <w:sz w:val="20"/>
                <w:szCs w:val="20"/>
                <w:color w:val="auto"/>
              </w:rPr>
            </w:pPr>
          </w:p>
        </w:tc>
        <w:tc>
          <w:tcPr>
            <w:tcW w:w="360" w:type="dxa"/>
            <w:vAlign w:val="bottom"/>
            <w:shd w:val="clear" w:color="auto" w:fill="E5E5E5"/>
          </w:tcPr>
          <w:p>
            <w:pPr>
              <w:ind w:left="200"/>
              <w:spacing w:after="0"/>
              <w:rPr>
                <w:sz w:val="20"/>
                <w:szCs w:val="20"/>
                <w:color w:val="auto"/>
              </w:rPr>
            </w:pPr>
            <w:r>
              <w:rPr>
                <w:rFonts w:ascii="Arial" w:cs="Arial" w:eastAsia="Arial" w:hAnsi="Arial"/>
                <w:sz w:val="15"/>
                <w:szCs w:val="15"/>
                <w:b w:val="1"/>
                <w:bCs w:val="1"/>
                <w:color w:val="auto"/>
              </w:rPr>
              <w:t>​ ​</w:t>
            </w:r>
          </w:p>
        </w:tc>
        <w:tc>
          <w:tcPr>
            <w:tcW w:w="58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b w:val="1"/>
                <w:bCs w:val="1"/>
                <w:color w:val="auto"/>
              </w:rPr>
              <w:t>​ ​</w:t>
            </w:r>
          </w:p>
        </w:tc>
        <w:tc>
          <w:tcPr>
            <w:tcW w:w="7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4340" w:type="dxa"/>
            <w:vAlign w:val="bottom"/>
            <w:gridSpan w:val="2"/>
          </w:tcPr>
          <w:p>
            <w:pPr>
              <w:ind w:left="80"/>
              <w:spacing w:after="0"/>
              <w:rPr>
                <w:sz w:val="20"/>
                <w:szCs w:val="20"/>
                <w:color w:val="auto"/>
              </w:rPr>
            </w:pPr>
            <w:r>
              <w:rPr>
                <w:rFonts w:ascii="Arial" w:cs="Arial" w:eastAsia="Arial" w:hAnsi="Arial"/>
                <w:sz w:val="15"/>
                <w:szCs w:val="15"/>
                <w:color w:val="auto"/>
              </w:rPr>
              <w:t>Termination by Us without “Cause” or by Mr. Montrone for</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4140" w:type="dxa"/>
            <w:vAlign w:val="bottom"/>
          </w:tcPr>
          <w:p>
            <w:pPr>
              <w:ind w:left="40"/>
              <w:spacing w:after="0"/>
              <w:rPr>
                <w:sz w:val="20"/>
                <w:szCs w:val="20"/>
                <w:color w:val="auto"/>
              </w:rPr>
            </w:pPr>
            <w:r>
              <w:rPr>
                <w:rFonts w:ascii="Arial" w:cs="Arial" w:eastAsia="Arial" w:hAnsi="Arial"/>
                <w:sz w:val="15"/>
                <w:szCs w:val="15"/>
                <w:color w:val="auto"/>
              </w:rPr>
              <w:t>“Good Reason”</w:t>
            </w:r>
          </w:p>
        </w:tc>
        <w:tc>
          <w:tcPr>
            <w:tcW w:w="420" w:type="dxa"/>
            <w:vAlign w:val="bottom"/>
          </w:tcPr>
          <w:p>
            <w:pPr>
              <w:ind w:left="100"/>
              <w:spacing w:after="0"/>
              <w:rPr>
                <w:sz w:val="20"/>
                <w:szCs w:val="20"/>
                <w:color w:val="auto"/>
              </w:rPr>
            </w:pPr>
            <w:r>
              <w:rPr>
                <w:rFonts w:ascii="Arial" w:cs="Arial" w:eastAsia="Arial" w:hAnsi="Arial"/>
                <w:sz w:val="15"/>
                <w:szCs w:val="15"/>
                <w:color w:val="auto"/>
              </w:rPr>
              <w:t>​ ​​$</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1,196,338​​ ​</w:t>
            </w:r>
          </w:p>
        </w:tc>
        <w:tc>
          <w:tcPr>
            <w:tcW w:w="12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56,014​​ ​</w:t>
            </w:r>
          </w:p>
        </w:tc>
        <w:tc>
          <w:tcPr>
            <w:tcW w:w="420" w:type="dxa"/>
            <w:vAlign w:val="bottom"/>
          </w:tcPr>
          <w:p>
            <w:pPr>
              <w:ind w:left="260"/>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1,168,557​​ ​ ​$</w:t>
            </w:r>
          </w:p>
        </w:tc>
        <w:tc>
          <w:tcPr>
            <w:tcW w:w="820" w:type="dxa"/>
            <w:vAlign w:val="bottom"/>
          </w:tcPr>
          <w:p>
            <w:pPr>
              <w:jc w:val="right"/>
              <w:spacing w:after="0"/>
              <w:rPr>
                <w:sz w:val="20"/>
                <w:szCs w:val="20"/>
                <w:color w:val="auto"/>
              </w:rPr>
            </w:pPr>
            <w:r>
              <w:rPr>
                <w:rFonts w:ascii="Arial" w:cs="Arial" w:eastAsia="Arial" w:hAnsi="Arial"/>
                <w:sz w:val="15"/>
                <w:szCs w:val="15"/>
                <w:color w:val="auto"/>
              </w:rPr>
              <w:t>2,420,909​​</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4340" w:type="dxa"/>
            <w:vAlign w:val="bottom"/>
            <w:gridSpan w:val="2"/>
            <w:shd w:val="clear" w:color="auto" w:fill="E5E5E5"/>
          </w:tcPr>
          <w:p>
            <w:pPr>
              <w:ind w:left="80"/>
              <w:spacing w:after="0"/>
              <w:rPr>
                <w:sz w:val="20"/>
                <w:szCs w:val="20"/>
                <w:color w:val="auto"/>
              </w:rPr>
            </w:pPr>
            <w:r>
              <w:rPr>
                <w:rFonts w:ascii="Arial" w:cs="Arial" w:eastAsia="Arial" w:hAnsi="Arial"/>
                <w:sz w:val="15"/>
                <w:szCs w:val="15"/>
                <w:color w:val="auto"/>
              </w:rPr>
              <w:t>Termination by Us for “Cause” or by Mr. Montrone without</w:t>
            </w:r>
          </w:p>
        </w:tc>
        <w:tc>
          <w:tcPr>
            <w:tcW w:w="42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0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140" w:type="dxa"/>
            <w:vAlign w:val="bottom"/>
            <w:shd w:val="clear" w:color="auto" w:fill="E5E5E5"/>
          </w:tcPr>
          <w:p>
            <w:pPr>
              <w:ind w:left="40"/>
              <w:spacing w:after="0"/>
              <w:rPr>
                <w:sz w:val="20"/>
                <w:szCs w:val="20"/>
                <w:color w:val="auto"/>
              </w:rPr>
            </w:pPr>
            <w:r>
              <w:rPr>
                <w:rFonts w:ascii="Arial" w:cs="Arial" w:eastAsia="Arial" w:hAnsi="Arial"/>
                <w:sz w:val="15"/>
                <w:szCs w:val="15"/>
                <w:color w:val="auto"/>
              </w:rPr>
              <w:t>“Good Reason”</w:t>
            </w:r>
          </w:p>
        </w:tc>
        <w:tc>
          <w:tcPr>
            <w:tcW w:w="420" w:type="dxa"/>
            <w:vAlign w:val="bottom"/>
            <w:shd w:val="clear" w:color="auto" w:fill="E5E5E5"/>
          </w:tcPr>
          <w:p>
            <w:pPr>
              <w:ind w:left="100"/>
              <w:spacing w:after="0"/>
              <w:rPr>
                <w:sz w:val="20"/>
                <w:szCs w:val="20"/>
                <w:color w:val="auto"/>
              </w:rPr>
            </w:pPr>
            <w:r>
              <w:rPr>
                <w:rFonts w:ascii="Arial" w:cs="Arial" w:eastAsia="Arial" w:hAnsi="Arial"/>
                <w:sz w:val="15"/>
                <w:szCs w:val="15"/>
                <w:color w:val="auto"/>
              </w:rPr>
              <w:t>​ ​​$</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ind w:lef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E5E5E5"/>
          </w:tcPr>
          <w:p>
            <w:pPr>
              <w:jc w:val="right"/>
              <w:spacing w:after="0"/>
              <w:rPr>
                <w:sz w:val="20"/>
                <w:szCs w:val="20"/>
                <w:color w:val="auto"/>
              </w:rPr>
            </w:pPr>
            <w:r>
              <w:rPr>
                <w:rFonts w:ascii="Arial" w:cs="Arial" w:eastAsia="Arial" w:hAnsi="Arial"/>
                <w:sz w:val="15"/>
                <w:szCs w:val="15"/>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4340" w:type="dxa"/>
            <w:vAlign w:val="bottom"/>
            <w:tcBorders>
              <w:bottom w:val="single" w:sz="8" w:color="auto"/>
            </w:tcBorders>
            <w:gridSpan w:val="2"/>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Termination due to Mr. Montrone’s disability or death</w:t>
            </w:r>
          </w:p>
        </w:tc>
        <w:tc>
          <w:tcPr>
            <w:tcW w:w="420" w:type="dxa"/>
            <w:vAlign w:val="bottom"/>
            <w:tcBorders>
              <w:bottom w:val="single" w:sz="8" w:color="auto"/>
            </w:tcBorders>
          </w:tcPr>
          <w:p>
            <w:pPr>
              <w:ind w:left="100"/>
              <w:spacing w:after="0" w:line="256" w:lineRule="exact"/>
              <w:rPr>
                <w:sz w:val="20"/>
                <w:szCs w:val="20"/>
                <w:color w:val="auto"/>
              </w:rPr>
            </w:pP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920" w:type="dxa"/>
            <w:vAlign w:val="bottom"/>
            <w:tcBorders>
              <w:bottom w:val="single" w:sz="8" w:color="auto"/>
            </w:tcBorders>
            <w:gridSpan w:val="2"/>
          </w:tcPr>
          <w:p>
            <w:pPr>
              <w:jc w:val="right"/>
              <w:spacing w:after="0" w:line="256" w:lineRule="exact"/>
              <w:rPr>
                <w:sz w:val="20"/>
                <w:szCs w:val="20"/>
                <w:color w:val="auto"/>
              </w:rPr>
            </w:pPr>
            <w:r>
              <w:rPr>
                <w:rFonts w:ascii="Arial" w:cs="Arial" w:eastAsia="Arial" w:hAnsi="Arial"/>
                <w:sz w:val="15"/>
                <w:szCs w:val="15"/>
                <w:color w:val="auto"/>
              </w:rPr>
              <w:t>217,338</w:t>
            </w:r>
            <w:r>
              <w:rPr>
                <w:rFonts w:ascii="Arial" w:cs="Arial" w:eastAsia="Arial" w:hAnsi="Arial"/>
                <w:sz w:val="29"/>
                <w:szCs w:val="29"/>
                <w:color w:val="auto"/>
                <w:vertAlign w:val="subscript"/>
              </w:rPr>
              <w:t>​​ ​</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20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700" w:type="dxa"/>
            <w:vAlign w:val="bottom"/>
            <w:tcBorders>
              <w:bottom w:val="single" w:sz="8" w:color="auto"/>
            </w:tcBorders>
            <w:gridSpan w:val="2"/>
          </w:tcPr>
          <w:p>
            <w:pPr>
              <w:jc w:val="right"/>
              <w:spacing w:after="0" w:line="256" w:lineRule="exact"/>
              <w:rPr>
                <w:sz w:val="20"/>
                <w:szCs w:val="20"/>
                <w:color w:val="auto"/>
              </w:rPr>
            </w:pPr>
            <w:r>
              <w:rPr>
                <w:rFonts w:ascii="Arial" w:cs="Arial" w:eastAsia="Arial" w:hAnsi="Arial"/>
                <w:sz w:val="15"/>
                <w:szCs w:val="15"/>
                <w:color w:val="auto"/>
              </w:rPr>
              <w:t>28,007</w:t>
            </w:r>
            <w:r>
              <w:rPr>
                <w:rFonts w:ascii="Arial" w:cs="Arial" w:eastAsia="Arial" w:hAnsi="Arial"/>
                <w:sz w:val="29"/>
                <w:szCs w:val="29"/>
                <w:color w:val="auto"/>
                <w:vertAlign w:val="subscript"/>
              </w:rPr>
              <w:t>​​ ​</w:t>
            </w:r>
          </w:p>
        </w:tc>
        <w:tc>
          <w:tcPr>
            <w:tcW w:w="420" w:type="dxa"/>
            <w:vAlign w:val="bottom"/>
            <w:tcBorders>
              <w:bottom w:val="single" w:sz="8" w:color="auto"/>
            </w:tcBorders>
          </w:tcPr>
          <w:p>
            <w:pPr>
              <w:ind w:left="26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1100" w:type="dxa"/>
            <w:vAlign w:val="bottom"/>
            <w:tcBorders>
              <w:bottom w:val="single" w:sz="8" w:color="auto"/>
            </w:tcBorders>
            <w:gridSpan w:val="3"/>
          </w:tcPr>
          <w:p>
            <w:pPr>
              <w:jc w:val="right"/>
              <w:spacing w:after="0" w:line="256" w:lineRule="exact"/>
              <w:rPr>
                <w:sz w:val="20"/>
                <w:szCs w:val="20"/>
                <w:color w:val="auto"/>
              </w:rPr>
            </w:pPr>
            <w:r>
              <w:rPr>
                <w:rFonts w:ascii="Arial" w:cs="Arial" w:eastAsia="Arial" w:hAnsi="Arial"/>
                <w:sz w:val="15"/>
                <w:szCs w:val="15"/>
                <w:color w:val="auto"/>
              </w:rPr>
              <w:t>1,168,557</w:t>
            </w:r>
            <w:r>
              <w:rPr>
                <w:rFonts w:ascii="Arial" w:cs="Arial" w:eastAsia="Arial" w:hAnsi="Arial"/>
                <w:sz w:val="29"/>
                <w:szCs w:val="29"/>
                <w:color w:val="auto"/>
                <w:vertAlign w:val="subscript"/>
              </w:rPr>
              <w:t>​​ ​ ​</w:t>
            </w: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5"/>
                <w:szCs w:val="15"/>
                <w:color w:val="auto"/>
              </w:rPr>
              <w:t>1,413,902</w:t>
            </w:r>
            <w:r>
              <w:rPr>
                <w:rFonts w:ascii="Arial" w:cs="Arial" w:eastAsia="Arial" w:hAnsi="Arial"/>
                <w:sz w:val="29"/>
                <w:szCs w:val="29"/>
                <w:color w:val="auto"/>
                <w:vertAlign w:val="subscript"/>
              </w:rPr>
              <w:t>​​</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3"/>
        </w:trPr>
        <w:tc>
          <w:tcPr>
            <w:tcW w:w="7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54</w:t>
            </w: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Cash</w:t>
            </w:r>
          </w:p>
        </w:tc>
        <w:tc>
          <w:tcPr>
            <w:tcW w:w="2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5"/>
                <w:szCs w:val="15"/>
                <w:b w:val="1"/>
                <w:bCs w:val="1"/>
                <w:color w:val="auto"/>
              </w:rPr>
              <w:t>Continuation</w:t>
            </w:r>
          </w:p>
        </w:tc>
        <w:tc>
          <w:tcPr>
            <w:tcW w:w="2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Acceleration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b w:val="1"/>
                <w:bCs w:val="1"/>
                <w:color w:val="auto"/>
              </w:rPr>
              <w:t>Severance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rPr>
              <w:t>of Medical</w:t>
            </w:r>
          </w:p>
        </w:tc>
        <w:tc>
          <w:tcPr>
            <w:tcW w:w="2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of Outstanding</w:t>
            </w:r>
          </w:p>
        </w:tc>
        <w:tc>
          <w:tcPr>
            <w:tcW w:w="160" w:type="dxa"/>
            <w:vAlign w:val="bottom"/>
          </w:tcPr>
          <w:p>
            <w:pPr>
              <w:spacing w:after="0"/>
              <w:rPr>
                <w:sz w:val="15"/>
                <w:szCs w:val="15"/>
                <w:color w:val="auto"/>
              </w:rPr>
            </w:pPr>
          </w:p>
        </w:tc>
        <w:tc>
          <w:tcPr>
            <w:tcW w:w="106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Termination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100" w:type="dxa"/>
            <w:vAlign w:val="bottom"/>
          </w:tcPr>
          <w:p>
            <w:pPr>
              <w:spacing w:after="0" w:line="167" w:lineRule="exact"/>
              <w:rPr>
                <w:sz w:val="20"/>
                <w:szCs w:val="20"/>
                <w:color w:val="auto"/>
              </w:rPr>
            </w:pPr>
            <w:r>
              <w:rPr>
                <w:rFonts w:ascii="Arial" w:cs="Arial" w:eastAsia="Arial" w:hAnsi="Arial"/>
                <w:sz w:val="15"/>
                <w:szCs w:val="15"/>
                <w:b w:val="1"/>
                <w:bCs w:val="1"/>
                <w:color w:val="auto"/>
              </w:rPr>
              <w:t>Name</w:t>
            </w:r>
            <w:r>
              <w:rPr>
                <w:rFonts w:ascii="Arial" w:cs="Arial" w:eastAsia="Arial" w:hAnsi="Arial"/>
                <w:sz w:val="19"/>
                <w:szCs w:val="19"/>
                <w:b w:val="1"/>
                <w:bCs w:val="1"/>
                <w:color w:val="auto"/>
                <w:vertAlign w:val="superscript"/>
              </w:rPr>
              <w:t>(1)</w:t>
            </w:r>
          </w:p>
        </w:tc>
        <w:tc>
          <w:tcPr>
            <w:tcW w:w="6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 ​</w:t>
            </w:r>
          </w:p>
        </w:tc>
        <w:tc>
          <w:tcPr>
            <w:tcW w:w="62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Payout</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Benefits</w:t>
            </w:r>
            <w:r>
              <w:rPr>
                <w:rFonts w:ascii="Arial" w:cs="Arial" w:eastAsia="Arial" w:hAnsi="Arial"/>
                <w:sz w:val="19"/>
                <w:szCs w:val="19"/>
                <w:b w:val="1"/>
                <w:bCs w:val="1"/>
                <w:color w:val="auto"/>
                <w:vertAlign w:val="superscript"/>
              </w:rPr>
              <w:t>(2)</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Awards</w:t>
            </w:r>
          </w:p>
        </w:tc>
        <w:tc>
          <w:tcPr>
            <w:tcW w:w="1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w:t>
            </w:r>
          </w:p>
        </w:tc>
        <w:tc>
          <w:tcPr>
            <w:tcW w:w="24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44"/>
              <w:spacing w:after="0" w:line="167" w:lineRule="exact"/>
              <w:rPr>
                <w:sz w:val="20"/>
                <w:szCs w:val="20"/>
                <w:color w:val="auto"/>
              </w:rPr>
            </w:pPr>
            <w:r>
              <w:rPr>
                <w:rFonts w:ascii="Arial" w:cs="Arial" w:eastAsia="Arial" w:hAnsi="Arial"/>
                <w:sz w:val="15"/>
                <w:szCs w:val="15"/>
                <w:b w:val="1"/>
                <w:bCs w:val="1"/>
                <w:color w:val="auto"/>
              </w:rPr>
              <w:t>Benefits</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rPr>
              <w:t>​</w:t>
            </w:r>
          </w:p>
        </w:tc>
        <w:tc>
          <w:tcPr>
            <w:tcW w:w="64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E5E5E5"/>
          </w:tcPr>
          <w:p>
            <w:pPr>
              <w:ind w:left="40"/>
              <w:spacing w:after="0"/>
              <w:rPr>
                <w:sz w:val="20"/>
                <w:szCs w:val="20"/>
                <w:color w:val="auto"/>
              </w:rPr>
            </w:pPr>
            <w:r>
              <w:rPr>
                <w:rFonts w:ascii="Arial" w:cs="Arial" w:eastAsia="Arial" w:hAnsi="Arial"/>
                <w:sz w:val="15"/>
                <w:szCs w:val="15"/>
                <w:b w:val="1"/>
                <w:bCs w:val="1"/>
                <w:color w:val="auto"/>
              </w:rPr>
              <w:t>​Anthony Blasquez</w:t>
            </w:r>
          </w:p>
        </w:tc>
        <w:tc>
          <w:tcPr>
            <w:tcW w:w="640" w:type="dxa"/>
            <w:vAlign w:val="bottom"/>
            <w:shd w:val="clear" w:color="auto" w:fill="E5E5E5"/>
          </w:tcPr>
          <w:p>
            <w:pPr>
              <w:ind w:left="240"/>
              <w:spacing w:after="0"/>
              <w:rPr>
                <w:sz w:val="20"/>
                <w:szCs w:val="20"/>
                <w:color w:val="auto"/>
              </w:rPr>
            </w:pPr>
            <w:r>
              <w:rPr>
                <w:rFonts w:ascii="Arial" w:cs="Arial" w:eastAsia="Arial" w:hAnsi="Arial"/>
                <w:sz w:val="15"/>
                <w:szCs w:val="15"/>
                <w:b w:val="1"/>
                <w:bCs w:val="1"/>
                <w:color w:val="auto"/>
              </w:rPr>
              <w:t>​ ​​ ​</w:t>
            </w:r>
          </w:p>
        </w:tc>
        <w:tc>
          <w:tcPr>
            <w:tcW w:w="620" w:type="dxa"/>
            <w:vAlign w:val="bottom"/>
            <w:shd w:val="clear" w:color="auto" w:fill="E5E5E5"/>
          </w:tcPr>
          <w:p>
            <w:pPr>
              <w:spacing w:after="0"/>
              <w:rPr>
                <w:sz w:val="19"/>
                <w:szCs w:val="19"/>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w:t>
            </w: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ind w:left="200"/>
              <w:spacing w:after="0"/>
              <w:rPr>
                <w:sz w:val="20"/>
                <w:szCs w:val="20"/>
                <w:color w:val="auto"/>
              </w:rPr>
            </w:pPr>
            <w:r>
              <w:rPr>
                <w:rFonts w:ascii="Arial" w:cs="Arial" w:eastAsia="Arial" w:hAnsi="Arial"/>
                <w:sz w:val="15"/>
                <w:szCs w:val="15"/>
                <w:b w:val="1"/>
                <w:bCs w:val="1"/>
                <w:color w:val="auto"/>
              </w:rPr>
              <w:t>​ ​</w:t>
            </w:r>
          </w:p>
        </w:tc>
        <w:tc>
          <w:tcPr>
            <w:tcW w:w="320" w:type="dxa"/>
            <w:vAlign w:val="bottom"/>
            <w:shd w:val="clear" w:color="auto" w:fill="E5E5E5"/>
          </w:tcPr>
          <w:p>
            <w:pPr>
              <w:spacing w:after="0"/>
              <w:rPr>
                <w:sz w:val="19"/>
                <w:szCs w:val="19"/>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b w:val="1"/>
                <w:bCs w:val="1"/>
                <w:color w:val="auto"/>
              </w:rPr>
              <w:t>​ ​</w:t>
            </w:r>
          </w:p>
        </w:tc>
        <w:tc>
          <w:tcPr>
            <w:tcW w:w="7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Termination by Us without “Cause” or by Mr. Blasquez for</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4100" w:type="dxa"/>
            <w:vAlign w:val="bottom"/>
          </w:tcPr>
          <w:p>
            <w:pPr>
              <w:ind w:left="140"/>
              <w:spacing w:after="0"/>
              <w:rPr>
                <w:sz w:val="20"/>
                <w:szCs w:val="20"/>
                <w:color w:val="auto"/>
              </w:rPr>
            </w:pPr>
            <w:r>
              <w:rPr>
                <w:rFonts w:ascii="Arial" w:cs="Arial" w:eastAsia="Arial" w:hAnsi="Arial"/>
                <w:sz w:val="15"/>
                <w:szCs w:val="15"/>
                <w:color w:val="auto"/>
              </w:rPr>
              <w:t>“Good Reason”</w:t>
            </w:r>
          </w:p>
        </w:tc>
        <w:tc>
          <w:tcPr>
            <w:tcW w:w="1480" w:type="dxa"/>
            <w:vAlign w:val="bottom"/>
            <w:gridSpan w:val="3"/>
          </w:tcPr>
          <w:p>
            <w:pPr>
              <w:jc w:val="right"/>
              <w:spacing w:after="0"/>
              <w:rPr>
                <w:sz w:val="20"/>
                <w:szCs w:val="20"/>
                <w:color w:val="auto"/>
              </w:rPr>
            </w:pPr>
            <w:r>
              <w:rPr>
                <w:rFonts w:ascii="Arial" w:cs="Arial" w:eastAsia="Arial" w:hAnsi="Arial"/>
                <w:sz w:val="15"/>
                <w:szCs w:val="15"/>
                <w:color w:val="auto"/>
              </w:rPr>
              <w:t>​ ​​$  1,684,236​​ ​</w:t>
            </w:r>
          </w:p>
        </w:tc>
        <w:tc>
          <w:tcPr>
            <w:tcW w:w="1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  55,214​​ ​</w:t>
            </w:r>
          </w:p>
        </w:tc>
        <w:tc>
          <w:tcPr>
            <w:tcW w:w="2340" w:type="dxa"/>
            <w:vAlign w:val="bottom"/>
            <w:gridSpan w:val="5"/>
          </w:tcPr>
          <w:p>
            <w:pPr>
              <w:jc w:val="right"/>
              <w:spacing w:after="0"/>
              <w:rPr>
                <w:sz w:val="20"/>
                <w:szCs w:val="20"/>
                <w:color w:val="auto"/>
              </w:rPr>
            </w:pPr>
            <w:r>
              <w:rPr>
                <w:rFonts w:ascii="Arial" w:cs="Arial" w:eastAsia="Arial" w:hAnsi="Arial"/>
                <w:sz w:val="15"/>
                <w:szCs w:val="15"/>
                <w:color w:val="auto"/>
              </w:rPr>
              <w:t>​$  1,162,937​​ ​ ​$  2,902,387​​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shd w:val="clear" w:color="auto" w:fill="E5E5E5"/>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5"/>
                <w:szCs w:val="15"/>
                <w:color w:val="auto"/>
              </w:rPr>
              <w:t>Termination by Us for “Cause” or by Mr. Blasquez without</w:t>
            </w:r>
          </w:p>
        </w:tc>
        <w:tc>
          <w:tcPr>
            <w:tcW w:w="6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100" w:type="dxa"/>
            <w:vAlign w:val="bottom"/>
            <w:shd w:val="clear" w:color="auto" w:fill="E5E5E5"/>
          </w:tcPr>
          <w:p>
            <w:pPr>
              <w:ind w:left="140"/>
              <w:spacing w:after="0"/>
              <w:rPr>
                <w:sz w:val="20"/>
                <w:szCs w:val="20"/>
                <w:color w:val="auto"/>
              </w:rPr>
            </w:pPr>
            <w:r>
              <w:rPr>
                <w:rFonts w:ascii="Arial" w:cs="Arial" w:eastAsia="Arial" w:hAnsi="Arial"/>
                <w:sz w:val="15"/>
                <w:szCs w:val="15"/>
                <w:color w:val="auto"/>
              </w:rPr>
              <w:t>“Good Reason”</w:t>
            </w:r>
          </w:p>
        </w:tc>
        <w:tc>
          <w:tcPr>
            <w:tcW w:w="640" w:type="dxa"/>
            <w:vAlign w:val="bottom"/>
            <w:shd w:val="clear" w:color="auto" w:fill="E5E5E5"/>
          </w:tcPr>
          <w:p>
            <w:pPr>
              <w:ind w:left="240"/>
              <w:spacing w:after="0"/>
              <w:rPr>
                <w:sz w:val="20"/>
                <w:szCs w:val="20"/>
                <w:color w:val="auto"/>
              </w:rPr>
            </w:pPr>
            <w:r>
              <w:rPr>
                <w:rFonts w:ascii="Arial" w:cs="Arial" w:eastAsia="Arial" w:hAnsi="Arial"/>
                <w:sz w:val="15"/>
                <w:szCs w:val="15"/>
                <w:color w:val="auto"/>
              </w:rPr>
              <w:t>​ ​​$</w:t>
            </w: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ind w:left="20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E5E5E5"/>
          </w:tcPr>
          <w:p>
            <w:pPr>
              <w:jc w:val="right"/>
              <w:spacing w:after="0"/>
              <w:rPr>
                <w:sz w:val="20"/>
                <w:szCs w:val="20"/>
                <w:color w:val="auto"/>
              </w:rPr>
            </w:pPr>
            <w:r>
              <w:rPr>
                <w:rFonts w:ascii="Arial" w:cs="Arial" w:eastAsia="Arial" w:hAnsi="Arial"/>
                <w:sz w:val="15"/>
                <w:szCs w:val="15"/>
                <w:color w:val="auto"/>
              </w:rPr>
              <w:t>—​​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gridSpan w:val="2"/>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Termination due to Mr. Blasquez’s disability or death</w:t>
            </w:r>
          </w:p>
        </w:tc>
        <w:tc>
          <w:tcPr>
            <w:tcW w:w="640" w:type="dxa"/>
            <w:vAlign w:val="bottom"/>
            <w:tcBorders>
              <w:bottom w:val="single" w:sz="8" w:color="auto"/>
            </w:tcBorders>
          </w:tcPr>
          <w:p>
            <w:pPr>
              <w:ind w:left="240"/>
              <w:spacing w:after="0" w:line="243"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4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15"/>
                <w:szCs w:val="15"/>
                <w:color w:val="auto"/>
              </w:rPr>
              <w:t>215,118</w:t>
            </w:r>
            <w:r>
              <w:rPr>
                <w:rFonts w:ascii="Arial" w:cs="Arial" w:eastAsia="Arial" w:hAnsi="Arial"/>
                <w:sz w:val="28"/>
                <w:szCs w:val="28"/>
                <w:color w:val="auto"/>
                <w:vertAlign w:val="subscript"/>
              </w:rPr>
              <w:t>​​ ​</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$ 27,607</w:t>
            </w:r>
            <w:r>
              <w:rPr>
                <w:rFonts w:ascii="Arial" w:cs="Arial" w:eastAsia="Arial" w:hAnsi="Arial"/>
                <w:sz w:val="28"/>
                <w:szCs w:val="28"/>
                <w:color w:val="auto"/>
                <w:vertAlign w:val="subscript"/>
              </w:rPr>
              <w:t>​​ ​</w:t>
            </w:r>
          </w:p>
        </w:tc>
        <w:tc>
          <w:tcPr>
            <w:tcW w:w="420" w:type="dxa"/>
            <w:vAlign w:val="bottom"/>
            <w:tcBorders>
              <w:bottom w:val="single" w:sz="8" w:color="auto"/>
            </w:tcBorders>
          </w:tcPr>
          <w:p>
            <w:pPr>
              <w:ind w:left="2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00" w:type="dxa"/>
            <w:vAlign w:val="bottom"/>
            <w:tcBorders>
              <w:bottom w:val="single" w:sz="8" w:color="auto"/>
            </w:tcBorders>
            <w:gridSpan w:val="3"/>
          </w:tcPr>
          <w:p>
            <w:pPr>
              <w:jc w:val="right"/>
              <w:spacing w:after="0" w:line="243" w:lineRule="exact"/>
              <w:rPr>
                <w:sz w:val="20"/>
                <w:szCs w:val="20"/>
                <w:color w:val="auto"/>
              </w:rPr>
            </w:pPr>
            <w:r>
              <w:rPr>
                <w:rFonts w:ascii="Arial" w:cs="Arial" w:eastAsia="Arial" w:hAnsi="Arial"/>
                <w:sz w:val="15"/>
                <w:szCs w:val="15"/>
                <w:color w:val="auto"/>
              </w:rPr>
              <w:t>1,162,937</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5"/>
                <w:szCs w:val="15"/>
                <w:color w:val="auto"/>
              </w:rPr>
              <w:t>1,405,662</w:t>
            </w:r>
            <w:r>
              <w:rPr>
                <w:rFonts w:ascii="Arial" w:cs="Arial" w:eastAsia="Arial" w:hAnsi="Arial"/>
                <w:sz w:val="28"/>
                <w:szCs w:val="28"/>
                <w:color w:val="auto"/>
                <w:vertAlign w:val="subscript"/>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E5E5E5"/>
          </w:tcPr>
          <w:p>
            <w:pPr>
              <w:ind w:left="40"/>
              <w:spacing w:after="0"/>
              <w:rPr>
                <w:sz w:val="20"/>
                <w:szCs w:val="20"/>
                <w:color w:val="auto"/>
              </w:rPr>
            </w:pPr>
            <w:r>
              <w:rPr>
                <w:rFonts w:ascii="Arial" w:cs="Arial" w:eastAsia="Arial" w:hAnsi="Arial"/>
                <w:sz w:val="15"/>
                <w:szCs w:val="15"/>
                <w:b w:val="1"/>
                <w:bCs w:val="1"/>
                <w:color w:val="auto"/>
              </w:rPr>
              <w:t>​Bryan Pechersky</w:t>
            </w:r>
          </w:p>
        </w:tc>
        <w:tc>
          <w:tcPr>
            <w:tcW w:w="640" w:type="dxa"/>
            <w:vAlign w:val="bottom"/>
            <w:shd w:val="clear" w:color="auto" w:fill="E5E5E5"/>
          </w:tcPr>
          <w:p>
            <w:pPr>
              <w:ind w:left="240"/>
              <w:spacing w:after="0"/>
              <w:rPr>
                <w:sz w:val="20"/>
                <w:szCs w:val="20"/>
                <w:color w:val="auto"/>
              </w:rPr>
            </w:pPr>
            <w:r>
              <w:rPr>
                <w:rFonts w:ascii="Arial" w:cs="Arial" w:eastAsia="Arial" w:hAnsi="Arial"/>
                <w:sz w:val="15"/>
                <w:szCs w:val="15"/>
                <w:b w:val="1"/>
                <w:bCs w:val="1"/>
                <w:color w:val="auto"/>
              </w:rPr>
              <w:t>​ ​​ ​</w:t>
            </w:r>
          </w:p>
        </w:tc>
        <w:tc>
          <w:tcPr>
            <w:tcW w:w="620" w:type="dxa"/>
            <w:vAlign w:val="bottom"/>
            <w:shd w:val="clear" w:color="auto" w:fill="E5E5E5"/>
          </w:tcPr>
          <w:p>
            <w:pPr>
              <w:spacing w:after="0"/>
              <w:rPr>
                <w:sz w:val="19"/>
                <w:szCs w:val="19"/>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w:t>
            </w: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ind w:left="200"/>
              <w:spacing w:after="0"/>
              <w:rPr>
                <w:sz w:val="20"/>
                <w:szCs w:val="20"/>
                <w:color w:val="auto"/>
              </w:rPr>
            </w:pPr>
            <w:r>
              <w:rPr>
                <w:rFonts w:ascii="Arial" w:cs="Arial" w:eastAsia="Arial" w:hAnsi="Arial"/>
                <w:sz w:val="15"/>
                <w:szCs w:val="15"/>
                <w:b w:val="1"/>
                <w:bCs w:val="1"/>
                <w:color w:val="auto"/>
              </w:rPr>
              <w:t>​ ​</w:t>
            </w:r>
          </w:p>
        </w:tc>
        <w:tc>
          <w:tcPr>
            <w:tcW w:w="320" w:type="dxa"/>
            <w:vAlign w:val="bottom"/>
            <w:shd w:val="clear" w:color="auto" w:fill="E5E5E5"/>
          </w:tcPr>
          <w:p>
            <w:pPr>
              <w:spacing w:after="0"/>
              <w:rPr>
                <w:sz w:val="19"/>
                <w:szCs w:val="19"/>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 ​</w:t>
            </w:r>
          </w:p>
        </w:tc>
        <w:tc>
          <w:tcPr>
            <w:tcW w:w="420" w:type="dxa"/>
            <w:vAlign w:val="bottom"/>
            <w:shd w:val="clear" w:color="auto" w:fill="E5E5E5"/>
          </w:tcPr>
          <w:p>
            <w:pPr>
              <w:ind w:left="260"/>
              <w:spacing w:after="0"/>
              <w:rPr>
                <w:sz w:val="20"/>
                <w:szCs w:val="20"/>
                <w:color w:val="auto"/>
              </w:rPr>
            </w:pPr>
            <w:r>
              <w:rPr>
                <w:rFonts w:ascii="Arial" w:cs="Arial" w:eastAsia="Arial" w:hAnsi="Arial"/>
                <w:sz w:val="15"/>
                <w:szCs w:val="15"/>
                <w:b w:val="1"/>
                <w:bCs w:val="1"/>
                <w:color w:val="auto"/>
              </w:rPr>
              <w:t>​ ​</w:t>
            </w:r>
          </w:p>
        </w:tc>
        <w:tc>
          <w:tcPr>
            <w:tcW w:w="700" w:type="dxa"/>
            <w:vAlign w:val="bottom"/>
            <w:shd w:val="clear" w:color="auto" w:fill="E5E5E5"/>
          </w:tcPr>
          <w:p>
            <w:pPr>
              <w:spacing w:after="0"/>
              <w:rPr>
                <w:sz w:val="19"/>
                <w:szCs w:val="19"/>
                <w:color w:val="auto"/>
              </w:rPr>
            </w:pPr>
          </w:p>
        </w:tc>
        <w:tc>
          <w:tcPr>
            <w:tcW w:w="400" w:type="dxa"/>
            <w:vAlign w:val="bottom"/>
            <w:gridSpan w:val="2"/>
            <w:shd w:val="clear" w:color="auto" w:fill="E5E5E5"/>
          </w:tcPr>
          <w:p>
            <w:pPr>
              <w:jc w:val="right"/>
              <w:spacing w:after="0"/>
              <w:rPr>
                <w:sz w:val="20"/>
                <w:szCs w:val="20"/>
                <w:color w:val="auto"/>
              </w:rPr>
            </w:pPr>
            <w:r>
              <w:rPr>
                <w:rFonts w:ascii="Arial" w:cs="Arial" w:eastAsia="Arial" w:hAnsi="Arial"/>
                <w:sz w:val="15"/>
                <w:szCs w:val="15"/>
                <w:b w:val="1"/>
                <w:bCs w:val="1"/>
                <w:color w:val="auto"/>
              </w:rPr>
              <w:t>​​ ​ ​ ​</w:t>
            </w:r>
          </w:p>
        </w:tc>
        <w:tc>
          <w:tcPr>
            <w:tcW w:w="8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1">
            <w:col w:w="10000"/>
          </w:cols>
          <w:pgMar w:left="580" w:top="97" w:right="1319" w:bottom="1440" w:gutter="0" w:footer="0" w:header="0"/>
        </w:sectPr>
      </w:pPr>
    </w:p>
    <w:p>
      <w:pPr>
        <w:ind w:left="860"/>
        <w:spacing w:after="0"/>
        <w:rPr>
          <w:sz w:val="20"/>
          <w:szCs w:val="20"/>
          <w:color w:val="auto"/>
        </w:rPr>
      </w:pPr>
      <w:r>
        <w:rPr>
          <w:rFonts w:ascii="Arial" w:cs="Arial" w:eastAsia="Arial" w:hAnsi="Arial"/>
          <w:sz w:val="15"/>
          <w:szCs w:val="15"/>
          <w:color w:val="auto"/>
        </w:rPr>
        <w:t>Termination by Us without “Cause” or by Mr. Pechersky for</w:t>
      </w:r>
    </w:p>
    <w:p>
      <w:pPr>
        <w:spacing w:after="0" w:line="28" w:lineRule="exact"/>
        <w:rPr>
          <w:sz w:val="20"/>
          <w:szCs w:val="20"/>
          <w:color w:val="auto"/>
        </w:rPr>
      </w:pPr>
    </w:p>
    <w:p>
      <w:pPr>
        <w:ind w:left="1000" w:hanging="191"/>
        <w:spacing w:after="0"/>
        <w:tabs>
          <w:tab w:leader="none" w:pos="10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“Good Reason”</w:t>
      </w:r>
    </w:p>
    <w:p>
      <w:pPr>
        <w:spacing w:after="0" w:line="5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Termination by Us for “Cause” or by Mr. Pechersky without</w:t>
      </w:r>
    </w:p>
    <w:p>
      <w:pPr>
        <w:spacing w:after="0" w:line="28" w:lineRule="exact"/>
        <w:rPr>
          <w:sz w:val="20"/>
          <w:szCs w:val="20"/>
          <w:color w:val="auto"/>
        </w:rPr>
      </w:pPr>
    </w:p>
    <w:p>
      <w:pPr>
        <w:ind w:left="1000" w:hanging="191"/>
        <w:spacing w:after="0"/>
        <w:tabs>
          <w:tab w:leader="none" w:pos="1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“Good Reason”</w:t>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​Termination due to Mr. Pechersky’s disability or death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20"/>
                <w:szCs w:val="20"/>
                <w:color w:val="auto"/>
              </w:rPr>
            </w:pPr>
            <w:r>
              <w:rPr>
                <w:rFonts w:ascii="Arial" w:cs="Arial" w:eastAsia="Arial" w:hAnsi="Arial"/>
                <w:sz w:val="15"/>
                <w:szCs w:val="15"/>
                <w:color w:val="auto"/>
              </w:rPr>
              <w:t>​ ​​$</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1,124,240​​ ​</w:t>
            </w:r>
          </w:p>
        </w:tc>
        <w:tc>
          <w:tcPr>
            <w:tcW w:w="1140" w:type="dxa"/>
            <w:vAlign w:val="bottom"/>
            <w:gridSpan w:val="2"/>
          </w:tcPr>
          <w:p>
            <w:pPr>
              <w:jc w:val="right"/>
              <w:ind w:right="64"/>
              <w:spacing w:after="0"/>
              <w:rPr>
                <w:sz w:val="20"/>
                <w:szCs w:val="20"/>
                <w:color w:val="auto"/>
              </w:rPr>
            </w:pPr>
            <w:r>
              <w:rPr>
                <w:rFonts w:ascii="Arial" w:cs="Arial" w:eastAsia="Arial" w:hAnsi="Arial"/>
                <w:sz w:val="15"/>
                <w:szCs w:val="15"/>
                <w:color w:val="auto"/>
              </w:rPr>
              <w:t>​$ 55,214​​ ​</w:t>
            </w:r>
          </w:p>
        </w:tc>
        <w:tc>
          <w:tcPr>
            <w:tcW w:w="340" w:type="dxa"/>
            <w:vAlign w:val="bottom"/>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723,832​​ ​ ​$</w:t>
            </w:r>
          </w:p>
        </w:tc>
        <w:tc>
          <w:tcPr>
            <w:tcW w:w="820" w:type="dxa"/>
            <w:vAlign w:val="bottom"/>
          </w:tcPr>
          <w:p>
            <w:pPr>
              <w:jc w:val="right"/>
              <w:spacing w:after="0"/>
              <w:rPr>
                <w:sz w:val="20"/>
                <w:szCs w:val="20"/>
                <w:color w:val="auto"/>
              </w:rPr>
            </w:pPr>
            <w:r>
              <w:rPr>
                <w:rFonts w:ascii="Arial" w:cs="Arial" w:eastAsia="Arial" w:hAnsi="Arial"/>
                <w:sz w:val="15"/>
                <w:szCs w:val="15"/>
                <w:color w:val="auto"/>
              </w:rPr>
              <w:t>1,903,286​​</w:t>
            </w:r>
          </w:p>
        </w:tc>
      </w:tr>
      <w:tr>
        <w:trPr>
          <w:trHeight w:val="432"/>
        </w:trPr>
        <w:tc>
          <w:tcPr>
            <w:tcW w:w="300" w:type="dxa"/>
            <w:vAlign w:val="bottom"/>
          </w:tcPr>
          <w:p>
            <w:pPr>
              <w:spacing w:after="0"/>
              <w:rPr>
                <w:sz w:val="20"/>
                <w:szCs w:val="20"/>
                <w:color w:val="auto"/>
              </w:rPr>
            </w:pPr>
            <w:r>
              <w:rPr>
                <w:rFonts w:ascii="Arial" w:cs="Arial" w:eastAsia="Arial" w:hAnsi="Arial"/>
                <w:sz w:val="15"/>
                <w:szCs w:val="15"/>
                <w:color w:val="auto"/>
              </w:rPr>
              <w:t>​ ​​$</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 ​</w:t>
            </w:r>
          </w:p>
        </w:tc>
        <w:tc>
          <w:tcPr>
            <w:tcW w:w="300" w:type="dxa"/>
            <w:vAlign w:val="bottom"/>
          </w:tcPr>
          <w:p>
            <w:pPr>
              <w:ind w:left="16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 ​</w:t>
            </w:r>
          </w:p>
        </w:tc>
        <w:tc>
          <w:tcPr>
            <w:tcW w:w="340" w:type="dxa"/>
            <w:vAlign w:val="bottom"/>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 ​ ​$</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300" w:type="dxa"/>
            <w:vAlign w:val="bottom"/>
          </w:tcPr>
          <w:p>
            <w:pPr>
              <w:spacing w:after="0"/>
              <w:rPr>
                <w:sz w:val="20"/>
                <w:szCs w:val="20"/>
                <w:color w:val="auto"/>
              </w:rPr>
            </w:pPr>
            <w:r>
              <w:rPr>
                <w:rFonts w:ascii="Arial" w:cs="Arial" w:eastAsia="Arial" w:hAnsi="Arial"/>
                <w:sz w:val="15"/>
                <w:szCs w:val="15"/>
                <w:color w:val="auto"/>
              </w:rPr>
              <w:t>​ ​​$</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204,240​​ ​</w:t>
            </w:r>
          </w:p>
        </w:tc>
        <w:tc>
          <w:tcPr>
            <w:tcW w:w="300" w:type="dxa"/>
            <w:vAlign w:val="bottom"/>
          </w:tcPr>
          <w:p>
            <w:pPr>
              <w:ind w:left="16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27,607​​ ​</w:t>
            </w:r>
          </w:p>
        </w:tc>
        <w:tc>
          <w:tcPr>
            <w:tcW w:w="340" w:type="dxa"/>
            <w:vAlign w:val="bottom"/>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723,832​​ ​ ​$</w:t>
            </w:r>
          </w:p>
        </w:tc>
        <w:tc>
          <w:tcPr>
            <w:tcW w:w="820" w:type="dxa"/>
            <w:vAlign w:val="bottom"/>
          </w:tcPr>
          <w:p>
            <w:pPr>
              <w:jc w:val="right"/>
              <w:spacing w:after="0"/>
              <w:rPr>
                <w:sz w:val="20"/>
                <w:szCs w:val="20"/>
                <w:color w:val="auto"/>
              </w:rPr>
            </w:pPr>
            <w:r>
              <w:rPr>
                <w:rFonts w:ascii="Arial" w:cs="Arial" w:eastAsia="Arial" w:hAnsi="Arial"/>
                <w:sz w:val="15"/>
                <w:szCs w:val="15"/>
                <w:color w:val="auto"/>
              </w:rPr>
              <w:t>955,679​​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-441325</wp:posOffset>
            </wp:positionV>
            <wp:extent cx="5837555"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-12700</wp:posOffset>
            </wp:positionV>
            <wp:extent cx="58375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4800" w:space="400"/>
            <w:col w:w="4800"/>
          </w:cols>
          <w:pgMar w:left="580" w:top="97" w:right="1319" w:bottom="1440" w:gutter="0" w:footer="0" w:header="0"/>
          <w:type w:val="continuous"/>
        </w:sectPr>
      </w:pPr>
    </w:p>
    <w:p>
      <w:pPr>
        <w:ind w:left="1120" w:right="60" w:hanging="358"/>
        <w:spacing w:after="0" w:line="280" w:lineRule="auto"/>
        <w:tabs>
          <w:tab w:leader="none" w:pos="112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Mr. Fadel is not listed in this table because, as previously disclosed, he retired as Chief Executive Officer of the Company effective June 1, 2025.</w:t>
      </w:r>
    </w:p>
    <w:p>
      <w:pPr>
        <w:jc w:val="both"/>
        <w:ind w:left="1120" w:right="40" w:hanging="358"/>
        <w:spacing w:after="0" w:line="297" w:lineRule="auto"/>
        <w:tabs>
          <w:tab w:leader="none" w:pos="112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listed herein reflect the value of medical insurance coverage that would be extended to a named executive officer following termination; provided, however, such named executive officer would continue to be responsible for normal employee premium contributions.</w:t>
      </w:r>
    </w:p>
    <w:p>
      <w:pPr>
        <w:spacing w:after="0" w:line="328"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38735</wp:posOffset>
            </wp:positionV>
            <wp:extent cx="58375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56" w:lineRule="exact"/>
        <w:rPr>
          <w:sz w:val="20"/>
          <w:szCs w:val="20"/>
          <w:color w:val="auto"/>
        </w:rPr>
      </w:pPr>
    </w:p>
    <w:p>
      <w:pPr>
        <w:ind w:left="760" w:right="40"/>
        <w:spacing w:after="0" w:line="286" w:lineRule="auto"/>
        <w:rPr>
          <w:sz w:val="20"/>
          <w:szCs w:val="20"/>
          <w:color w:val="auto"/>
        </w:rPr>
      </w:pPr>
      <w:r>
        <w:rPr>
          <w:rFonts w:ascii="Arial" w:cs="Arial" w:eastAsia="Arial" w:hAnsi="Arial"/>
          <w:sz w:val="16"/>
          <w:szCs w:val="16"/>
          <w:color w:val="auto"/>
        </w:rPr>
        <w:t>The following table sets forth certain information concerning all equity compensation plans previously approved by our stockholders and all equity compensation plans not previously approved by our stockholders as of December 31, 2025.</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5"/>
                <w:szCs w:val="15"/>
                <w:b w:val="1"/>
                <w:bCs w:val="1"/>
                <w:color w:val="auto"/>
              </w:rPr>
              <w:t>Number of securities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Number of securities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to be issued</w:t>
            </w:r>
          </w:p>
        </w:tc>
        <w:tc>
          <w:tcPr>
            <w:tcW w:w="2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5"/>
                <w:szCs w:val="15"/>
                <w:b w:val="1"/>
                <w:bCs w:val="1"/>
                <w:color w:val="auto"/>
              </w:rPr>
              <w:t>Weighted-average</w:t>
            </w:r>
          </w:p>
        </w:tc>
        <w:tc>
          <w:tcPr>
            <w:tcW w:w="140" w:type="dxa"/>
            <w:vAlign w:val="bottom"/>
          </w:tcPr>
          <w:p>
            <w:pPr>
              <w:spacing w:after="0"/>
              <w:rPr>
                <w:sz w:val="16"/>
                <w:szCs w:val="16"/>
                <w:color w:val="auto"/>
              </w:rPr>
            </w:pPr>
          </w:p>
        </w:tc>
        <w:tc>
          <w:tcPr>
            <w:tcW w:w="172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remaining available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upon exercise of</w:t>
            </w:r>
          </w:p>
        </w:tc>
        <w:tc>
          <w:tcPr>
            <w:tcW w:w="2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5"/>
                <w:szCs w:val="15"/>
                <w:b w:val="1"/>
                <w:bCs w:val="1"/>
                <w:color w:val="auto"/>
              </w:rPr>
              <w:t>exercise price of</w:t>
            </w:r>
          </w:p>
        </w:tc>
        <w:tc>
          <w:tcPr>
            <w:tcW w:w="140" w:type="dxa"/>
            <w:vAlign w:val="bottom"/>
          </w:tcPr>
          <w:p>
            <w:pPr>
              <w:spacing w:after="0"/>
              <w:rPr>
                <w:sz w:val="16"/>
                <w:szCs w:val="16"/>
                <w:color w:val="auto"/>
              </w:rPr>
            </w:pPr>
          </w:p>
        </w:tc>
        <w:tc>
          <w:tcPr>
            <w:tcW w:w="172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for future issuance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24"/>
              <w:spacing w:after="0"/>
              <w:rPr>
                <w:sz w:val="20"/>
                <w:szCs w:val="20"/>
                <w:color w:val="auto"/>
              </w:rPr>
            </w:pPr>
            <w:r>
              <w:rPr>
                <w:rFonts w:ascii="Arial" w:cs="Arial" w:eastAsia="Arial" w:hAnsi="Arial"/>
                <w:sz w:val="15"/>
                <w:szCs w:val="15"/>
                <w:b w:val="1"/>
                <w:bCs w:val="1"/>
                <w:color w:val="auto"/>
              </w:rPr>
              <w:t>outstanding options,</w:t>
            </w:r>
          </w:p>
        </w:tc>
        <w:tc>
          <w:tcPr>
            <w:tcW w:w="2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5"/>
                <w:szCs w:val="15"/>
                <w:b w:val="1"/>
                <w:bCs w:val="1"/>
                <w:color w:val="auto"/>
              </w:rPr>
              <w:t>outstanding options,</w:t>
            </w:r>
          </w:p>
        </w:tc>
        <w:tc>
          <w:tcPr>
            <w:tcW w:w="140" w:type="dxa"/>
            <w:vAlign w:val="bottom"/>
          </w:tcPr>
          <w:p>
            <w:pPr>
              <w:spacing w:after="0"/>
              <w:rPr>
                <w:sz w:val="16"/>
                <w:szCs w:val="16"/>
                <w:color w:val="auto"/>
              </w:rPr>
            </w:pPr>
          </w:p>
        </w:tc>
        <w:tc>
          <w:tcPr>
            <w:tcW w:w="172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under equity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3580" w:type="dxa"/>
            <w:vAlign w:val="bottom"/>
          </w:tcPr>
          <w:p>
            <w:pPr>
              <w:spacing w:after="0" w:line="154" w:lineRule="exact"/>
              <w:rPr>
                <w:sz w:val="20"/>
                <w:szCs w:val="20"/>
                <w:color w:val="auto"/>
              </w:rPr>
            </w:pPr>
            <w:r>
              <w:rPr>
                <w:rFonts w:ascii="Arial" w:cs="Arial" w:eastAsia="Arial" w:hAnsi="Arial"/>
                <w:sz w:val="15"/>
                <w:szCs w:val="15"/>
                <w:b w:val="1"/>
                <w:bCs w:val="1"/>
                <w:color w:val="auto"/>
              </w:rPr>
              <w:t>Plan Category</w:t>
            </w:r>
          </w:p>
        </w:tc>
        <w:tc>
          <w:tcPr>
            <w:tcW w:w="120" w:type="dxa"/>
            <w:vAlign w:val="bottom"/>
          </w:tcPr>
          <w:p>
            <w:pPr>
              <w:spacing w:after="0"/>
              <w:rPr>
                <w:sz w:val="13"/>
                <w:szCs w:val="13"/>
                <w:color w:val="auto"/>
              </w:rPr>
            </w:pPr>
          </w:p>
        </w:tc>
        <w:tc>
          <w:tcPr>
            <w:tcW w:w="1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520" w:type="dxa"/>
            <w:vAlign w:val="bottom"/>
            <w:gridSpan w:val="2"/>
          </w:tcPr>
          <w:p>
            <w:pPr>
              <w:jc w:val="right"/>
              <w:spacing w:after="0" w:line="154" w:lineRule="exact"/>
              <w:rPr>
                <w:sz w:val="20"/>
                <w:szCs w:val="20"/>
                <w:color w:val="auto"/>
              </w:rPr>
            </w:pPr>
            <w:r>
              <w:rPr>
                <w:rFonts w:ascii="Arial" w:cs="Arial" w:eastAsia="Arial" w:hAnsi="Arial"/>
                <w:sz w:val="15"/>
                <w:szCs w:val="15"/>
                <w:b w:val="1"/>
                <w:bCs w:val="1"/>
                <w:color w:val="auto"/>
              </w:rPr>
              <w:t>warrants and rights</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w:t>
            </w:r>
          </w:p>
        </w:tc>
        <w:tc>
          <w:tcPr>
            <w:tcW w:w="160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warrants and rights</w:t>
            </w:r>
            <w:r>
              <w:rPr>
                <w:rFonts w:ascii="Arial" w:cs="Arial" w:eastAsia="Arial" w:hAnsi="Arial"/>
                <w:sz w:val="17"/>
                <w:szCs w:val="17"/>
                <w:b w:val="1"/>
                <w:bCs w:val="1"/>
                <w:color w:val="auto"/>
                <w:vertAlign w:val="superscript"/>
              </w:rPr>
              <w:t>(1)</w:t>
            </w: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720" w:type="dxa"/>
            <w:vAlign w:val="bottom"/>
            <w:gridSpan w:val="2"/>
          </w:tcPr>
          <w:p>
            <w:pPr>
              <w:jc w:val="right"/>
              <w:ind w:right="84"/>
              <w:spacing w:after="0" w:line="154" w:lineRule="exact"/>
              <w:rPr>
                <w:sz w:val="20"/>
                <w:szCs w:val="20"/>
                <w:color w:val="auto"/>
              </w:rPr>
            </w:pPr>
            <w:r>
              <w:rPr>
                <w:rFonts w:ascii="Arial" w:cs="Arial" w:eastAsia="Arial" w:hAnsi="Arial"/>
                <w:sz w:val="14"/>
                <w:szCs w:val="14"/>
                <w:b w:val="1"/>
                <w:bCs w:val="1"/>
                <w:color w:val="auto"/>
              </w:rPr>
              <w:t>compensation plan</w:t>
            </w:r>
            <w:r>
              <w:rPr>
                <w:rFonts w:ascii="Arial" w:cs="Arial" w:eastAsia="Arial" w:hAnsi="Arial"/>
                <w:sz w:val="17"/>
                <w:szCs w:val="17"/>
                <w:b w:val="1"/>
                <w:bCs w:val="1"/>
                <w:color w:val="auto"/>
                <w:vertAlign w:val="superscript"/>
              </w:rPr>
              <w:t>(2)</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rPr>
              <w:t>​</w:t>
            </w: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58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E5E5E5"/>
          </w:tcPr>
          <w:p>
            <w:pPr>
              <w:spacing w:after="0"/>
              <w:rPr>
                <w:sz w:val="17"/>
                <w:szCs w:val="17"/>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5"/>
                <w:szCs w:val="15"/>
                <w:color w:val="auto"/>
              </w:rPr>
              <w:t>Equity compensation plans approved by security</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5"/>
                <w:szCs w:val="15"/>
                <w:color w:val="auto"/>
              </w:rPr>
              <w:t>​</w:t>
            </w:r>
          </w:p>
        </w:tc>
        <w:tc>
          <w:tcPr>
            <w:tcW w:w="35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color w:val="auto"/>
              </w:rPr>
              <w:t>holders</w:t>
            </w:r>
          </w:p>
        </w:tc>
        <w:tc>
          <w:tcPr>
            <w:tcW w:w="220" w:type="dxa"/>
            <w:vAlign w:val="bottom"/>
            <w:tcBorders>
              <w:bottom w:val="single" w:sz="8" w:color="auto"/>
            </w:tcBorders>
            <w:gridSpan w:val="2"/>
            <w:shd w:val="clear" w:color="auto" w:fill="E5E5E5"/>
          </w:tcPr>
          <w:p>
            <w:pPr>
              <w:jc w:val="center"/>
              <w:spacing w:after="0"/>
              <w:rPr>
                <w:sz w:val="20"/>
                <w:szCs w:val="20"/>
                <w:color w:val="auto"/>
              </w:rPr>
            </w:pPr>
            <w:r>
              <w:rPr>
                <w:rFonts w:ascii="Arial" w:cs="Arial" w:eastAsia="Arial" w:hAnsi="Arial"/>
                <w:sz w:val="15"/>
                <w:szCs w:val="15"/>
                <w:color w:val="auto"/>
              </w:rPr>
              <w:t>​ ​</w:t>
            </w:r>
          </w:p>
        </w:tc>
        <w:tc>
          <w:tcPr>
            <w:tcW w:w="100" w:type="dxa"/>
            <w:vAlign w:val="bottom"/>
            <w:tcBorders>
              <w:bottom w:val="single" w:sz="8" w:color="auto"/>
            </w:tcBorders>
            <w:shd w:val="clear" w:color="auto" w:fill="E5E5E5"/>
          </w:tcPr>
          <w:p>
            <w:pPr>
              <w:spacing w:after="0"/>
              <w:rPr>
                <w:sz w:val="19"/>
                <w:szCs w:val="19"/>
                <w:color w:val="auto"/>
              </w:rPr>
            </w:pPr>
          </w:p>
        </w:tc>
        <w:tc>
          <w:tcPr>
            <w:tcW w:w="174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5"/>
                <w:szCs w:val="15"/>
                <w:color w:val="auto"/>
              </w:rPr>
              <w:t>​​424,705​​ ​</w:t>
            </w:r>
          </w:p>
        </w:tc>
        <w:tc>
          <w:tcPr>
            <w:tcW w:w="174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5"/>
                <w:szCs w:val="15"/>
                <w:color w:val="auto"/>
              </w:rPr>
              <w:t>​$      23.79​​ ​</w:t>
            </w:r>
          </w:p>
        </w:tc>
        <w:tc>
          <w:tcPr>
            <w:tcW w:w="17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​3,707,538​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Equity compensation plans not approved by security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35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holders</w:t>
            </w:r>
          </w:p>
        </w:tc>
        <w:tc>
          <w:tcPr>
            <w:tcW w:w="2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 ​</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 ​</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auto"/>
            </w:tcBorders>
            <w:gridSpan w:val="2"/>
            <w:shd w:val="clear" w:color="auto" w:fill="E5E5E5"/>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w:t>
            </w:r>
          </w:p>
        </w:tc>
        <w:tc>
          <w:tcPr>
            <w:tcW w:w="220" w:type="dxa"/>
            <w:vAlign w:val="bottom"/>
            <w:tcBorders>
              <w:bottom w:val="single" w:sz="8" w:color="auto"/>
            </w:tcBorders>
            <w:gridSpan w:val="2"/>
            <w:shd w:val="clear" w:color="auto" w:fill="E5E5E5"/>
          </w:tcPr>
          <w:p>
            <w:pPr>
              <w:jc w:val="center"/>
              <w:spacing w:after="0"/>
              <w:rPr>
                <w:sz w:val="20"/>
                <w:szCs w:val="20"/>
                <w:color w:val="auto"/>
              </w:rPr>
            </w:pPr>
            <w:r>
              <w:rPr>
                <w:rFonts w:ascii="Arial" w:cs="Arial" w:eastAsia="Arial" w:hAnsi="Arial"/>
                <w:sz w:val="15"/>
                <w:szCs w:val="15"/>
                <w:color w:val="auto"/>
              </w:rPr>
              <w:t>​ ​</w:t>
            </w:r>
          </w:p>
        </w:tc>
        <w:tc>
          <w:tcPr>
            <w:tcW w:w="100" w:type="dxa"/>
            <w:vAlign w:val="bottom"/>
            <w:tcBorders>
              <w:bottom w:val="single" w:sz="8" w:color="auto"/>
            </w:tcBorders>
            <w:shd w:val="clear" w:color="auto" w:fill="E5E5E5"/>
          </w:tcPr>
          <w:p>
            <w:pPr>
              <w:spacing w:after="0"/>
              <w:rPr>
                <w:sz w:val="21"/>
                <w:szCs w:val="21"/>
                <w:color w:val="auto"/>
              </w:rPr>
            </w:pPr>
          </w:p>
        </w:tc>
        <w:tc>
          <w:tcPr>
            <w:tcW w:w="174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5"/>
                <w:szCs w:val="15"/>
                <w:color w:val="auto"/>
              </w:rPr>
              <w:t>​​424,705​​ ​</w:t>
            </w:r>
          </w:p>
        </w:tc>
        <w:tc>
          <w:tcPr>
            <w:tcW w:w="1040" w:type="dxa"/>
            <w:vAlign w:val="bottom"/>
            <w:tcBorders>
              <w:bottom w:val="single" w:sz="8" w:color="auto"/>
            </w:tcBorders>
            <w:shd w:val="clear" w:color="auto" w:fill="E5E5E5"/>
          </w:tcPr>
          <w:p>
            <w:pPr>
              <w:ind w:left="80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23.79​​ ​</w:t>
            </w:r>
          </w:p>
        </w:tc>
        <w:tc>
          <w:tcPr>
            <w:tcW w:w="17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​3,707,538​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120" w:right="40" w:hanging="358"/>
        <w:spacing w:after="0" w:line="271" w:lineRule="auto"/>
        <w:tabs>
          <w:tab w:leader="none" w:pos="112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weighted-average exercise price of outstanding options as of December 31, 2025. The weighted-average grant date fair value of outstanding restricted stock units and performance stock units as of December 31, 2025 was $23.79.</w:t>
      </w:r>
    </w:p>
    <w:p>
      <w:pPr>
        <w:ind w:left="1120" w:right="60" w:hanging="358"/>
        <w:spacing w:after="0" w:line="302" w:lineRule="auto"/>
        <w:tabs>
          <w:tab w:leader="none" w:pos="112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Pursuant to the terms of the 2021 Plan, shares of common stock subject to an award that is forfeited, expires, terminates or is settled for cash (in whole or in part) will be available for future grants of awards under the plan.</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This section sets forth our reasonable estimate, calculated in a manner consistent with the requirements of Item 402(u) of Regulation S-K, of the ratio of the annual total compensation for fiscal year 2025 of Mr. Karam, our Chief Executive Officer on December 31, 2025, to that of the median of the annual total compensation for all of our other employees (the “CEO Pay Ratio”). Please note that due to the flexibility in estimates, assumptions and adjustments permitted by the SEC in calculating such ratio, the CEO Pay Ratio may not be comparable to those presented by other companies, even other companies operating in the same industries as Upbound.</w:t>
      </w:r>
    </w:p>
    <w:p>
      <w:pPr>
        <w:spacing w:after="0" w:line="118"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We identified our median employee using our employee population (excluding our Chief Executive Officer) as of December 31, 2025, which consisted of approximately 12,050 full-time, part-time, seasonal and temporary workers, of which approximately 11,000 (91%) were located in the United States and approximately 1,050 (9%) were located in Mexico. As of December 31, 2025, approximately 90 (0.1%) employees were employed on a part-time basis and approximately 8,400 (70%) were paid on an hourly (rather than salaried) basis. In order to attract and retain employees, we pay what we believe to be competitive rates in each market where we operate.</w:t>
      </w:r>
    </w:p>
    <w:p>
      <w:pPr>
        <w:sectPr>
          <w:pgSz w:w="11900" w:h="16838" w:orient="portrait"/>
          <w:cols w:equalWidth="0" w:num="1">
            <w:col w:w="10000"/>
          </w:cols>
          <w:pgMar w:left="580" w:top="97" w:right="131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TABLES</w:t>
      </w:r>
    </w:p>
    <w:p>
      <w:pPr>
        <w:spacing w:after="0" w:line="370"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We selected the median employee first by using a consistently applied compensation measure of annual base pay, which reflects (i) for salaried employees, base salary, and (ii) for hourly employees, annualized base hourly compensation assuming that full-time and part-time workers work 2,080 and 1,040 hours per year, respectively, which calculation excluded any wages in respect of guaranteed overtime. After narrowing the population of potential median employees to normalize for potential drivers of pay differential (e.g., based on factors such as bonus eligibility and active status of employment), our median employee was randomly selected from a pool of 10 individuals. The annual base pay of our employees located in Mexico was converted to U.S. dollars using an exchange rate of 17.956 Mexican pesos to $1.00 U.S. dollar, reflecting the exchange rate reported by the U.S. Department of the Treasury as of December 31, 2025. We did not make any cost of living adjustments to annual base pay in identifying our median employee.</w:t>
      </w:r>
    </w:p>
    <w:p>
      <w:pPr>
        <w:spacing w:after="0" w:line="109"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Our median employee identified using the assumptions and methodologies described above was located in Indiana and served in an hourly position as a Customer Account Representative.</w:t>
      </w:r>
    </w:p>
    <w:p>
      <w:pPr>
        <w:spacing w:after="0" w:line="74"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The 2025 annual total compensation of our median employee, calculated using the same methodology used to calculate the same metric for our named executive officers in the Summary Compensation Table in this proxy statement, was $36,469. Comparing this to Mr. Karam’s 2025 annual total compensation of   $7,363,260, we estimate that the CEO Pay Ratio was approximately 202:1.</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Historical 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Pay Versus Performance Table</w:t>
      </w:r>
    </w:p>
    <w:p>
      <w:pPr>
        <w:spacing w:after="0" w:line="162"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the following disclosure is provided about the relationship between executive compensation and the Company’s performance on select financial metrics. For information about how our executive compensation program is designed to align with the Company’s performance, please read the “Compensation Discussion and Analysis” above in this proxy statement. The amounts in the table below are calculated in accordance with SEC rules and do not all represent amounts actually earned or realized by our named executive officers (“NEOs”), including with respect to RSUs and PSUs.</w:t>
      </w:r>
    </w:p>
    <w:p>
      <w:pPr>
        <w:spacing w:after="0" w:line="118"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The table below presents the compensation amounts for our CEO and non-CEO named executive officers as defined and computed in accordance with SEC rules, our financial performance as measured by TSR, net income and Adjusted EBITDA, and our peer group’s TSR, for fiscal years 2025, 2024, 2023, 2022 and 2021.</w:t>
      </w:r>
    </w:p>
    <w:p>
      <w:pPr>
        <w:spacing w:after="0" w:line="172"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Arial" w:cs="Arial" w:eastAsia="Arial" w:hAnsi="Arial"/>
                <w:sz w:val="15"/>
                <w:szCs w:val="15"/>
                <w:b w:val="1"/>
                <w:bCs w:val="1"/>
                <w:color w:val="auto"/>
              </w:rPr>
              <w:t>Value of Initial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Arial" w:cs="Arial" w:eastAsia="Arial" w:hAnsi="Arial"/>
                <w:sz w:val="15"/>
                <w:szCs w:val="15"/>
                <w:b w:val="1"/>
                <w:bCs w:val="1"/>
                <w:color w:val="auto"/>
              </w:rPr>
              <w:t>Fixed $100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jc w:val="center"/>
              <w:ind w:right="68"/>
              <w:spacing w:after="0"/>
              <w:rPr>
                <w:sz w:val="20"/>
                <w:szCs w:val="20"/>
                <w:color w:val="auto"/>
              </w:rPr>
            </w:pPr>
            <w:r>
              <w:rPr>
                <w:rFonts w:ascii="Arial" w:cs="Arial" w:eastAsia="Arial" w:hAnsi="Arial"/>
                <w:sz w:val="15"/>
                <w:szCs w:val="15"/>
                <w:b w:val="1"/>
                <w:bCs w:val="1"/>
                <w:color w:val="auto"/>
              </w:rPr>
              <w:t>Investment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center"/>
              <w:ind w:right="44"/>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5"/>
                <w:szCs w:val="15"/>
                <w:b w:val="1"/>
                <w:bCs w:val="1"/>
                <w:color w:val="auto"/>
                <w:w w:val="98"/>
              </w:rPr>
              <w:t>CEO</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9"/>
                <w:szCs w:val="19"/>
                <w:color w:val="auto"/>
              </w:rPr>
            </w:pPr>
          </w:p>
        </w:tc>
        <w:tc>
          <w:tcPr>
            <w:tcW w:w="186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Non-CEO NEOs</w:t>
            </w:r>
          </w:p>
        </w:tc>
        <w:tc>
          <w:tcPr>
            <w:tcW w:w="200" w:type="dxa"/>
            <w:vAlign w:val="bottom"/>
            <w:gridSpan w:val="2"/>
          </w:tcPr>
          <w:p>
            <w:pPr>
              <w:jc w:val="center"/>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5"/>
          </w:tcPr>
          <w:p>
            <w:pPr>
              <w:jc w:val="right"/>
              <w:spacing w:after="0"/>
              <w:rPr>
                <w:sz w:val="20"/>
                <w:szCs w:val="20"/>
                <w:color w:val="auto"/>
              </w:rPr>
            </w:pPr>
            <w:r>
              <w:rPr>
                <w:rFonts w:ascii="Arial" w:cs="Arial" w:eastAsia="Arial" w:hAnsi="Arial"/>
                <w:sz w:val="15"/>
                <w:szCs w:val="15"/>
                <w:b w:val="1"/>
                <w:bCs w:val="1"/>
                <w:color w:val="auto"/>
              </w:rPr>
              <w:t>Based On:  ​​</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5"/>
                <w:szCs w:val="15"/>
                <w:b w:val="1"/>
                <w:bCs w:val="1"/>
                <w:color w:val="auto"/>
              </w:rPr>
              <w:t>​ ​</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 ​</w:t>
            </w:r>
          </w:p>
        </w:tc>
        <w:tc>
          <w:tcPr>
            <w:tcW w:w="26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Average</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Summary</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Average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60" w:type="dxa"/>
            <w:vAlign w:val="bottom"/>
            <w:gridSpan w:val="5"/>
          </w:tcPr>
          <w:p>
            <w:pPr>
              <w:jc w:val="center"/>
              <w:spacing w:after="0"/>
              <w:rPr>
                <w:sz w:val="20"/>
                <w:szCs w:val="20"/>
                <w:color w:val="auto"/>
              </w:rPr>
            </w:pPr>
            <w:r>
              <w:rPr>
                <w:rFonts w:ascii="Arial" w:cs="Arial" w:eastAsia="Arial" w:hAnsi="Arial"/>
                <w:sz w:val="15"/>
                <w:szCs w:val="15"/>
                <w:b w:val="1"/>
                <w:bCs w:val="1"/>
                <w:color w:val="auto"/>
              </w:rPr>
              <w:t>Summary Compensation</w:t>
            </w:r>
          </w:p>
        </w:tc>
        <w:tc>
          <w:tcPr>
            <w:tcW w:w="1820" w:type="dxa"/>
            <w:vAlign w:val="bottom"/>
            <w:gridSpan w:val="4"/>
          </w:tcPr>
          <w:p>
            <w:pPr>
              <w:ind w:left="60"/>
              <w:spacing w:after="0"/>
              <w:rPr>
                <w:sz w:val="20"/>
                <w:szCs w:val="20"/>
                <w:color w:val="auto"/>
              </w:rPr>
            </w:pPr>
            <w:r>
              <w:rPr>
                <w:rFonts w:ascii="Arial" w:cs="Arial" w:eastAsia="Arial" w:hAnsi="Arial"/>
                <w:sz w:val="15"/>
                <w:szCs w:val="15"/>
                <w:b w:val="1"/>
                <w:bCs w:val="1"/>
                <w:color w:val="auto"/>
              </w:rPr>
              <w:t>Compensation Actually</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gridSpan w:val="6"/>
          </w:tcPr>
          <w:p>
            <w:pPr>
              <w:jc w:val="right"/>
              <w:spacing w:after="0"/>
              <w:rPr>
                <w:sz w:val="20"/>
                <w:szCs w:val="20"/>
                <w:color w:val="auto"/>
              </w:rPr>
            </w:pPr>
            <w:r>
              <w:rPr>
                <w:rFonts w:ascii="Arial" w:cs="Arial" w:eastAsia="Arial" w:hAnsi="Arial"/>
                <w:sz w:val="15"/>
                <w:szCs w:val="15"/>
                <w:b w:val="1"/>
                <w:bCs w:val="1"/>
                <w:color w:val="auto"/>
              </w:rPr>
              <w:t>Compensation  Compensation</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rPr>
              <w:t>​</w:t>
            </w:r>
          </w:p>
        </w:tc>
        <w:tc>
          <w:tcPr>
            <w:tcW w:w="1680" w:type="dxa"/>
            <w:vAlign w:val="bottom"/>
            <w:gridSpan w:val="4"/>
            <w:vMerge w:val="restart"/>
          </w:tcPr>
          <w:p>
            <w:pPr>
              <w:jc w:val="center"/>
              <w:ind w:right="84"/>
              <w:spacing w:after="0"/>
              <w:rPr>
                <w:sz w:val="20"/>
                <w:szCs w:val="20"/>
                <w:color w:val="auto"/>
              </w:rPr>
            </w:pPr>
            <w:r>
              <w:rPr>
                <w:rFonts w:ascii="Arial" w:cs="Arial" w:eastAsia="Arial" w:hAnsi="Arial"/>
                <w:sz w:val="15"/>
                <w:szCs w:val="15"/>
                <w:b w:val="1"/>
                <w:bCs w:val="1"/>
                <w:color w:val="auto"/>
                <w:w w:val="99"/>
              </w:rPr>
              <w:t>Table Total for CEO</w:t>
            </w:r>
          </w:p>
        </w:tc>
        <w:tc>
          <w:tcPr>
            <w:tcW w:w="1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1640" w:type="dxa"/>
            <w:vAlign w:val="bottom"/>
            <w:gridSpan w:val="3"/>
            <w:vMerge w:val="restart"/>
          </w:tcPr>
          <w:p>
            <w:pPr>
              <w:jc w:val="right"/>
              <w:ind w:right="330"/>
              <w:spacing w:after="0"/>
              <w:rPr>
                <w:sz w:val="20"/>
                <w:szCs w:val="20"/>
                <w:color w:val="auto"/>
              </w:rPr>
            </w:pPr>
            <w:r>
              <w:rPr>
                <w:rFonts w:ascii="Arial" w:cs="Arial" w:eastAsia="Arial" w:hAnsi="Arial"/>
                <w:sz w:val="15"/>
                <w:szCs w:val="15"/>
                <w:b w:val="1"/>
                <w:bCs w:val="1"/>
                <w:color w:val="auto"/>
              </w:rPr>
              <w:t>Paid to CEO</w:t>
            </w:r>
            <w:r>
              <w:rPr>
                <w:rFonts w:ascii="Arial" w:cs="Arial" w:eastAsia="Arial" w:hAnsi="Arial"/>
                <w:sz w:val="19"/>
                <w:szCs w:val="19"/>
                <w:b w:val="1"/>
                <w:bCs w:val="1"/>
                <w:color w:val="auto"/>
                <w:vertAlign w:val="superscript"/>
              </w:rPr>
              <w:t>(1)</w:t>
            </w:r>
          </w:p>
        </w:tc>
        <w:tc>
          <w:tcPr>
            <w:tcW w:w="20" w:type="dxa"/>
            <w:vAlign w:val="bottom"/>
          </w:tcPr>
          <w:p>
            <w:pPr>
              <w:spacing w:after="0"/>
              <w:rPr>
                <w:sz w:val="8"/>
                <w:szCs w:val="8"/>
                <w:color w:val="auto"/>
              </w:rPr>
            </w:pPr>
          </w:p>
        </w:tc>
        <w:tc>
          <w:tcPr>
            <w:tcW w:w="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Table Total</w:t>
            </w:r>
          </w:p>
        </w:tc>
        <w:tc>
          <w:tcPr>
            <w:tcW w:w="120" w:type="dxa"/>
            <w:vAlign w:val="bottom"/>
          </w:tcPr>
          <w:p>
            <w:pPr>
              <w:spacing w:after="0"/>
              <w:rPr>
                <w:sz w:val="8"/>
                <w:szCs w:val="8"/>
                <w:color w:val="auto"/>
              </w:rPr>
            </w:pPr>
          </w:p>
        </w:tc>
        <w:tc>
          <w:tcPr>
            <w:tcW w:w="10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Actually Paid</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5"/>
                <w:szCs w:val="15"/>
                <w:b w:val="1"/>
                <w:bCs w:val="1"/>
                <w:color w:val="auto"/>
              </w:rPr>
              <w:t>for non-CEO</w:t>
            </w:r>
          </w:p>
        </w:tc>
        <w:tc>
          <w:tcPr>
            <w:tcW w:w="120" w:type="dxa"/>
            <w:vAlign w:val="bottom"/>
          </w:tcPr>
          <w:p>
            <w:pPr>
              <w:spacing w:after="0"/>
              <w:rPr>
                <w:sz w:val="13"/>
                <w:szCs w:val="13"/>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5"/>
                <w:szCs w:val="15"/>
                <w:b w:val="1"/>
                <w:bCs w:val="1"/>
                <w:color w:val="auto"/>
              </w:rPr>
              <w:t>to non-CEO</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5"/>
                <w:szCs w:val="15"/>
                <w:b w:val="1"/>
                <w:bCs w:val="1"/>
                <w:color w:val="auto"/>
              </w:rPr>
              <w:t>Proxy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CEO 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5"/>
                <w:szCs w:val="15"/>
                <w:b w:val="1"/>
                <w:bCs w:val="1"/>
                <w:color w:val="auto"/>
              </w:rPr>
              <w:t>CEO 2</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CEO 1</w:t>
            </w:r>
          </w:p>
        </w:tc>
        <w:tc>
          <w:tcPr>
            <w:tcW w:w="180" w:type="dxa"/>
            <w:vAlign w:val="bottom"/>
          </w:tcPr>
          <w:p>
            <w:pPr>
              <w:spacing w:after="0"/>
              <w:rPr>
                <w:sz w:val="16"/>
                <w:szCs w:val="16"/>
                <w:color w:val="auto"/>
              </w:rPr>
            </w:pPr>
          </w:p>
        </w:tc>
        <w:tc>
          <w:tcPr>
            <w:tcW w:w="760" w:type="dxa"/>
            <w:vAlign w:val="bottom"/>
          </w:tcPr>
          <w:p>
            <w:pPr>
              <w:jc w:val="center"/>
              <w:ind w:left="170"/>
              <w:spacing w:after="0"/>
              <w:rPr>
                <w:sz w:val="20"/>
                <w:szCs w:val="20"/>
                <w:color w:val="auto"/>
              </w:rPr>
            </w:pPr>
            <w:r>
              <w:rPr>
                <w:rFonts w:ascii="Arial" w:cs="Arial" w:eastAsia="Arial" w:hAnsi="Arial"/>
                <w:sz w:val="15"/>
                <w:szCs w:val="15"/>
                <w:b w:val="1"/>
                <w:bCs w:val="1"/>
                <w:color w:val="auto"/>
                <w:w w:val="97"/>
              </w:rPr>
              <w:t>CEO 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named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named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b w:val="1"/>
                <w:bCs w:val="1"/>
                <w:color w:val="auto"/>
              </w:rPr>
              <w:t>Peer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b w:val="1"/>
                <w:bCs w:val="1"/>
                <w:color w:val="auto"/>
              </w:rPr>
              <w:t>Net</w:t>
            </w:r>
          </w:p>
        </w:tc>
        <w:tc>
          <w:tcPr>
            <w:tcW w:w="1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b w:val="1"/>
                <w:bCs w:val="1"/>
                <w:color w:val="auto"/>
              </w:rPr>
              <w:t>Adjusted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Mitchell</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5"/>
                <w:szCs w:val="15"/>
                <w:b w:val="1"/>
                <w:bCs w:val="1"/>
                <w:color w:val="auto"/>
                <w:w w:val="99"/>
              </w:rPr>
              <w:t>Fahmi</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Mitchell</w:t>
            </w:r>
          </w:p>
        </w:tc>
        <w:tc>
          <w:tcPr>
            <w:tcW w:w="180" w:type="dxa"/>
            <w:vAlign w:val="bottom"/>
          </w:tcPr>
          <w:p>
            <w:pPr>
              <w:spacing w:after="0"/>
              <w:rPr>
                <w:sz w:val="16"/>
                <w:szCs w:val="16"/>
                <w:color w:val="auto"/>
              </w:rPr>
            </w:pPr>
          </w:p>
        </w:tc>
        <w:tc>
          <w:tcPr>
            <w:tcW w:w="760" w:type="dxa"/>
            <w:vAlign w:val="bottom"/>
          </w:tcPr>
          <w:p>
            <w:pPr>
              <w:jc w:val="center"/>
              <w:ind w:left="130"/>
              <w:spacing w:after="0"/>
              <w:rPr>
                <w:sz w:val="20"/>
                <w:szCs w:val="20"/>
                <w:color w:val="auto"/>
              </w:rPr>
            </w:pPr>
            <w:r>
              <w:rPr>
                <w:rFonts w:ascii="Arial" w:cs="Arial" w:eastAsia="Arial" w:hAnsi="Arial"/>
                <w:sz w:val="15"/>
                <w:szCs w:val="15"/>
                <w:b w:val="1"/>
                <w:bCs w:val="1"/>
                <w:color w:val="auto"/>
                <w:w w:val="99"/>
              </w:rPr>
              <w:t>Fahmi</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executive</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w w:val="99"/>
              </w:rPr>
              <w:t>executive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b w:val="1"/>
                <w:bCs w:val="1"/>
                <w:color w:val="auto"/>
                <w:w w:val="97"/>
              </w:rPr>
              <w:t>Group</w:t>
            </w:r>
          </w:p>
        </w:tc>
        <w:tc>
          <w:tcPr>
            <w:tcW w:w="1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b w:val="1"/>
                <w:bCs w:val="1"/>
                <w:color w:val="auto"/>
              </w:rPr>
              <w:t>Income</w:t>
            </w:r>
          </w:p>
        </w:tc>
        <w:tc>
          <w:tcPr>
            <w:tcW w:w="140" w:type="dxa"/>
            <w:vAlign w:val="bottom"/>
          </w:tcPr>
          <w:p>
            <w:pPr>
              <w:spacing w:after="0"/>
              <w:rPr>
                <w:sz w:val="16"/>
                <w:szCs w:val="16"/>
                <w:color w:val="auto"/>
              </w:rPr>
            </w:pPr>
          </w:p>
        </w:tc>
        <w:tc>
          <w:tcPr>
            <w:tcW w:w="700" w:type="dxa"/>
            <w:vAlign w:val="bottom"/>
            <w:gridSpan w:val="3"/>
          </w:tcPr>
          <w:p>
            <w:pPr>
              <w:jc w:val="right"/>
              <w:spacing w:after="0" w:line="189" w:lineRule="exact"/>
              <w:rPr>
                <w:sz w:val="20"/>
                <w:szCs w:val="20"/>
                <w:color w:val="auto"/>
              </w:rPr>
            </w:pPr>
            <w:r>
              <w:rPr>
                <w:rFonts w:ascii="Arial" w:cs="Arial" w:eastAsia="Arial" w:hAnsi="Arial"/>
                <w:sz w:val="15"/>
                <w:szCs w:val="15"/>
                <w:b w:val="1"/>
                <w:bCs w:val="1"/>
                <w:color w:val="auto"/>
                <w:w w:val="95"/>
              </w:rPr>
              <w:t>EBITDA</w:t>
            </w:r>
            <w:r>
              <w:rPr>
                <w:rFonts w:ascii="Arial" w:cs="Arial" w:eastAsia="Arial" w:hAnsi="Arial"/>
                <w:sz w:val="19"/>
                <w:szCs w:val="19"/>
                <w:b w:val="1"/>
                <w:bCs w:val="1"/>
                <w:color w:val="auto"/>
                <w:w w:val="95"/>
                <w:vertAlign w:val="superscript"/>
              </w:rPr>
              <w:t>(5)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0" w:type="dxa"/>
            <w:vAlign w:val="bottom"/>
          </w:tcPr>
          <w:p>
            <w:pPr>
              <w:ind w:left="20"/>
              <w:spacing w:after="0"/>
              <w:rPr>
                <w:sz w:val="20"/>
                <w:szCs w:val="20"/>
                <w:color w:val="auto"/>
              </w:rPr>
            </w:pPr>
            <w:r>
              <w:rPr>
                <w:rFonts w:ascii="Arial" w:cs="Arial" w:eastAsia="Arial" w:hAnsi="Arial"/>
                <w:sz w:val="15"/>
                <w:szCs w:val="15"/>
                <w:b w:val="1"/>
                <w:bCs w:val="1"/>
                <w:color w:val="auto"/>
              </w:rPr>
              <w:t>Year</w:t>
            </w:r>
          </w:p>
        </w:tc>
        <w:tc>
          <w:tcPr>
            <w:tcW w:w="20" w:type="dxa"/>
            <w:vAlign w:val="bottom"/>
          </w:tcPr>
          <w:p>
            <w:pPr>
              <w:spacing w:after="0"/>
              <w:rPr>
                <w:sz w:val="15"/>
                <w:szCs w:val="15"/>
                <w:color w:val="auto"/>
              </w:rPr>
            </w:pPr>
          </w:p>
        </w:tc>
        <w:tc>
          <w:tcPr>
            <w:tcW w:w="18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Fadel</w:t>
            </w:r>
          </w:p>
        </w:tc>
        <w:tc>
          <w:tcPr>
            <w:tcW w:w="1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5"/>
                <w:szCs w:val="15"/>
                <w:b w:val="1"/>
                <w:bCs w:val="1"/>
                <w:color w:val="auto"/>
                <w:w w:val="98"/>
              </w:rPr>
              <w:t>Karam</w:t>
            </w:r>
          </w:p>
        </w:tc>
        <w:tc>
          <w:tcPr>
            <w:tcW w:w="1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Fadel</w:t>
            </w:r>
          </w:p>
        </w:tc>
        <w:tc>
          <w:tcPr>
            <w:tcW w:w="1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center"/>
              <w:ind w:left="210"/>
              <w:spacing w:after="0"/>
              <w:rPr>
                <w:sz w:val="20"/>
                <w:szCs w:val="20"/>
                <w:color w:val="auto"/>
              </w:rPr>
            </w:pPr>
            <w:r>
              <w:rPr>
                <w:rFonts w:ascii="Arial" w:cs="Arial" w:eastAsia="Arial" w:hAnsi="Arial"/>
                <w:sz w:val="15"/>
                <w:szCs w:val="15"/>
                <w:b w:val="1"/>
                <w:bCs w:val="1"/>
                <w:color w:val="auto"/>
              </w:rPr>
              <w:t>Karam</w:t>
            </w:r>
          </w:p>
        </w:tc>
        <w:tc>
          <w:tcPr>
            <w:tcW w:w="20" w:type="dxa"/>
            <w:vAlign w:val="bottom"/>
          </w:tcPr>
          <w:p>
            <w:pPr>
              <w:spacing w:after="0"/>
              <w:rPr>
                <w:sz w:val="15"/>
                <w:szCs w:val="15"/>
                <w:color w:val="auto"/>
              </w:rPr>
            </w:pPr>
          </w:p>
        </w:tc>
        <w:tc>
          <w:tcPr>
            <w:tcW w:w="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5"/>
                <w:szCs w:val="15"/>
                <w:b w:val="1"/>
                <w:bCs w:val="1"/>
                <w:color w:val="auto"/>
              </w:rPr>
              <w:t>officers</w:t>
            </w:r>
            <w:r>
              <w:rPr>
                <w:rFonts w:ascii="Arial" w:cs="Arial" w:eastAsia="Arial" w:hAnsi="Arial"/>
                <w:sz w:val="19"/>
                <w:szCs w:val="19"/>
                <w:b w:val="1"/>
                <w:bCs w:val="1"/>
                <w:color w:val="auto"/>
                <w:vertAlign w:val="superscript"/>
              </w:rPr>
              <w:t>(2)</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5"/>
                <w:szCs w:val="15"/>
                <w:b w:val="1"/>
                <w:bCs w:val="1"/>
                <w:color w:val="auto"/>
                <w:w w:val="97"/>
              </w:rPr>
              <w:t>officers</w:t>
            </w:r>
            <w:r>
              <w:rPr>
                <w:rFonts w:ascii="Arial" w:cs="Arial" w:eastAsia="Arial" w:hAnsi="Arial"/>
                <w:sz w:val="19"/>
                <w:szCs w:val="19"/>
                <w:b w:val="1"/>
                <w:bCs w:val="1"/>
                <w:color w:val="auto"/>
                <w:w w:val="97"/>
                <w:vertAlign w:val="superscript"/>
              </w:rPr>
              <w:t>(3)</w:t>
            </w:r>
          </w:p>
        </w:tc>
        <w:tc>
          <w:tcPr>
            <w:tcW w:w="2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w w:val="99"/>
              </w:rPr>
              <w:t>TSR</w:t>
            </w:r>
          </w:p>
        </w:tc>
        <w:tc>
          <w:tcPr>
            <w:tcW w:w="1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w:t>
            </w:r>
          </w:p>
        </w:tc>
        <w:tc>
          <w:tcPr>
            <w:tcW w:w="460" w:type="dxa"/>
            <w:vAlign w:val="bottom"/>
            <w:gridSpan w:val="2"/>
          </w:tcPr>
          <w:p>
            <w:pPr>
              <w:jc w:val="right"/>
              <w:spacing w:after="0" w:line="181" w:lineRule="exact"/>
              <w:rPr>
                <w:sz w:val="20"/>
                <w:szCs w:val="20"/>
                <w:color w:val="auto"/>
              </w:rPr>
            </w:pPr>
            <w:r>
              <w:rPr>
                <w:rFonts w:ascii="Arial" w:cs="Arial" w:eastAsia="Arial" w:hAnsi="Arial"/>
                <w:sz w:val="15"/>
                <w:szCs w:val="15"/>
                <w:b w:val="1"/>
                <w:bCs w:val="1"/>
                <w:color w:val="auto"/>
                <w:w w:val="96"/>
              </w:rPr>
              <w:t>TSR</w:t>
            </w:r>
            <w:r>
              <w:rPr>
                <w:rFonts w:ascii="Arial" w:cs="Arial" w:eastAsia="Arial" w:hAnsi="Arial"/>
                <w:sz w:val="19"/>
                <w:szCs w:val="19"/>
                <w:b w:val="1"/>
                <w:bCs w:val="1"/>
                <w:color w:val="auto"/>
                <w:w w:val="96"/>
                <w:vertAlign w:val="superscript"/>
              </w:rPr>
              <w:t>(4)</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b w:val="1"/>
                <w:bCs w:val="1"/>
                <w:color w:val="auto"/>
              </w:rPr>
              <w:t>($M)</w:t>
            </w:r>
          </w:p>
        </w:tc>
        <w:tc>
          <w:tcPr>
            <w:tcW w:w="1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b w:val="1"/>
                <w:bCs w:val="1"/>
                <w:color w:val="auto"/>
              </w:rPr>
              <w:t>($M)</w:t>
            </w:r>
          </w:p>
        </w:tc>
        <w:tc>
          <w:tcPr>
            <w:tcW w:w="6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4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60" w:type="dxa"/>
            <w:vAlign w:val="bottom"/>
            <w:shd w:val="clear" w:color="auto" w:fill="E5E5E5"/>
          </w:tcPr>
          <w:p>
            <w:pPr>
              <w:ind w:left="20"/>
              <w:spacing w:after="0"/>
              <w:rPr>
                <w:sz w:val="20"/>
                <w:szCs w:val="20"/>
                <w:color w:val="auto"/>
              </w:rPr>
            </w:pPr>
            <w:r>
              <w:rPr>
                <w:rFonts w:ascii="Arial" w:cs="Arial" w:eastAsia="Arial" w:hAnsi="Arial"/>
                <w:sz w:val="14"/>
                <w:szCs w:val="14"/>
                <w:color w:val="auto"/>
              </w:rPr>
              <w:t>2025</w:t>
            </w:r>
          </w:p>
        </w:tc>
        <w:tc>
          <w:tcPr>
            <w:tcW w:w="20" w:type="dxa"/>
            <w:vAlign w:val="bottom"/>
            <w:shd w:val="clear" w:color="auto" w:fill="E5E5E5"/>
          </w:tcPr>
          <w:p>
            <w:pPr>
              <w:spacing w:after="0"/>
              <w:rPr>
                <w:sz w:val="14"/>
                <w:szCs w:val="14"/>
                <w:color w:val="auto"/>
              </w:rPr>
            </w:pP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6,978,541</w:t>
            </w:r>
          </w:p>
        </w:tc>
        <w:tc>
          <w:tcPr>
            <w:tcW w:w="980" w:type="dxa"/>
            <w:vAlign w:val="bottom"/>
            <w:gridSpan w:val="3"/>
            <w:shd w:val="clear" w:color="auto" w:fill="E5E5E5"/>
          </w:tcPr>
          <w:p>
            <w:pPr>
              <w:ind w:left="120"/>
              <w:spacing w:after="0"/>
              <w:rPr>
                <w:sz w:val="20"/>
                <w:szCs w:val="20"/>
                <w:color w:val="auto"/>
              </w:rPr>
            </w:pPr>
            <w:r>
              <w:rPr>
                <w:rFonts w:ascii="Arial" w:cs="Arial" w:eastAsia="Arial" w:hAnsi="Arial"/>
                <w:sz w:val="14"/>
                <w:szCs w:val="14"/>
                <w:color w:val="auto"/>
              </w:rPr>
              <w:t>$   7,363,260</w:t>
            </w:r>
          </w:p>
        </w:tc>
        <w:tc>
          <w:tcPr>
            <w:tcW w:w="1820" w:type="dxa"/>
            <w:vAlign w:val="bottom"/>
            <w:gridSpan w:val="4"/>
            <w:shd w:val="clear" w:color="auto" w:fill="E5E5E5"/>
          </w:tcPr>
          <w:p>
            <w:pPr>
              <w:ind w:left="40"/>
              <w:spacing w:after="0"/>
              <w:rPr>
                <w:sz w:val="20"/>
                <w:szCs w:val="20"/>
                <w:color w:val="auto"/>
              </w:rPr>
            </w:pPr>
            <w:r>
              <w:rPr>
                <w:rFonts w:ascii="Arial" w:cs="Arial" w:eastAsia="Arial" w:hAnsi="Arial"/>
                <w:sz w:val="14"/>
                <w:szCs w:val="14"/>
                <w:color w:val="auto"/>
              </w:rPr>
              <w:t>$  (5,117,896) $  1,073,900</w:t>
            </w:r>
          </w:p>
        </w:tc>
        <w:tc>
          <w:tcPr>
            <w:tcW w:w="180" w:type="dxa"/>
            <w:vAlign w:val="bottom"/>
            <w:gridSpan w:val="3"/>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ind w:left="140"/>
              <w:spacing w:after="0"/>
              <w:rPr>
                <w:sz w:val="20"/>
                <w:szCs w:val="20"/>
                <w:color w:val="auto"/>
              </w:rPr>
            </w:pPr>
            <w:r>
              <w:rPr>
                <w:rFonts w:ascii="Arial" w:cs="Arial" w:eastAsia="Arial" w:hAnsi="Arial"/>
                <w:sz w:val="14"/>
                <w:szCs w:val="14"/>
                <w:color w:val="auto"/>
              </w:rPr>
              <w:t>$   1,603,299</w:t>
            </w:r>
          </w:p>
        </w:tc>
        <w:tc>
          <w:tcPr>
            <w:tcW w:w="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w w:val="97"/>
              </w:rPr>
              <w:t>$     520,494</w:t>
            </w:r>
          </w:p>
        </w:tc>
        <w:tc>
          <w:tcPr>
            <w:tcW w:w="60" w:type="dxa"/>
            <w:vAlign w:val="bottom"/>
            <w:shd w:val="clear" w:color="auto" w:fill="E5E5E5"/>
          </w:tcPr>
          <w:p>
            <w:pPr>
              <w:spacing w:after="0"/>
              <w:rPr>
                <w:sz w:val="14"/>
                <w:szCs w:val="14"/>
                <w:color w:val="auto"/>
              </w:rPr>
            </w:pPr>
          </w:p>
        </w:tc>
        <w:tc>
          <w:tcPr>
            <w:tcW w:w="4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82</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w w:val="97"/>
              </w:rPr>
              <w:t>$  139</w:t>
            </w:r>
          </w:p>
        </w:tc>
        <w:tc>
          <w:tcPr>
            <w:tcW w:w="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E5E5E5"/>
          </w:tcPr>
          <w:p>
            <w:pPr>
              <w:ind w:left="2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  73</w:t>
            </w:r>
          </w:p>
        </w:tc>
        <w:tc>
          <w:tcPr>
            <w:tcW w:w="14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w w:val="97"/>
              </w:rPr>
              <w:t>$  520</w:t>
            </w:r>
          </w:p>
        </w:tc>
        <w:tc>
          <w:tcPr>
            <w:tcW w:w="6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shd w:val="clear" w:color="auto" w:fill="E5E5E5"/>
          </w:tcPr>
          <w:p>
            <w:pPr>
              <w:ind w:left="20"/>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E5E5E5"/>
          </w:tcPr>
          <w:p>
            <w:pPr>
              <w:jc w:val="center"/>
              <w:ind w:right="24"/>
              <w:spacing w:after="0" w:line="54" w:lineRule="exact"/>
              <w:rPr>
                <w:sz w:val="20"/>
                <w:szCs w:val="20"/>
                <w:color w:val="auto"/>
              </w:rPr>
            </w:pPr>
            <w:r>
              <w:rPr>
                <w:rFonts w:ascii="Arial" w:cs="Arial" w:eastAsia="Arial" w:hAnsi="Arial"/>
                <w:sz w:val="6"/>
                <w:szCs w:val="6"/>
                <w:color w:val="auto"/>
              </w:rPr>
              <w:t>​​</w:t>
            </w:r>
          </w:p>
        </w:tc>
        <w:tc>
          <w:tcPr>
            <w:tcW w:w="700" w:type="dxa"/>
            <w:vAlign w:val="bottom"/>
            <w:shd w:val="clear" w:color="auto" w:fill="E5E5E5"/>
          </w:tcPr>
          <w:p>
            <w:pPr>
              <w:spacing w:after="0"/>
              <w:rPr>
                <w:sz w:val="4"/>
                <w:szCs w:val="4"/>
                <w:color w:val="auto"/>
              </w:rPr>
            </w:pPr>
          </w:p>
        </w:tc>
        <w:tc>
          <w:tcPr>
            <w:tcW w:w="180" w:type="dxa"/>
            <w:vAlign w:val="bottom"/>
            <w:shd w:val="clear" w:color="auto" w:fill="E5E5E5"/>
          </w:tcPr>
          <w:p>
            <w:pPr>
              <w:jc w:val="center"/>
              <w:spacing w:after="0" w:line="54" w:lineRule="exact"/>
              <w:rPr>
                <w:sz w:val="20"/>
                <w:szCs w:val="20"/>
                <w:color w:val="auto"/>
              </w:rPr>
            </w:pPr>
            <w:r>
              <w:rPr>
                <w:rFonts w:ascii="Arial" w:cs="Arial" w:eastAsia="Arial" w:hAnsi="Arial"/>
                <w:sz w:val="6"/>
                <w:szCs w:val="6"/>
                <w:color w:val="auto"/>
              </w:rPr>
              <w:t>​​​​</w:t>
            </w:r>
          </w:p>
        </w:tc>
        <w:tc>
          <w:tcPr>
            <w:tcW w:w="200" w:type="dxa"/>
            <w:vAlign w:val="bottom"/>
            <w:shd w:val="clear" w:color="auto" w:fill="E5E5E5"/>
          </w:tcPr>
          <w:p>
            <w:pPr>
              <w:spacing w:after="0"/>
              <w:rPr>
                <w:sz w:val="4"/>
                <w:szCs w:val="4"/>
                <w:color w:val="auto"/>
              </w:rPr>
            </w:pPr>
          </w:p>
        </w:tc>
        <w:tc>
          <w:tcPr>
            <w:tcW w:w="600" w:type="dxa"/>
            <w:vAlign w:val="bottom"/>
            <w:shd w:val="clear" w:color="auto" w:fill="E5E5E5"/>
          </w:tcPr>
          <w:p>
            <w:pPr>
              <w:spacing w:after="0"/>
              <w:rPr>
                <w:sz w:val="4"/>
                <w:szCs w:val="4"/>
                <w:color w:val="auto"/>
              </w:rPr>
            </w:pPr>
          </w:p>
        </w:tc>
        <w:tc>
          <w:tcPr>
            <w:tcW w:w="180" w:type="dxa"/>
            <w:vAlign w:val="bottom"/>
            <w:shd w:val="clear" w:color="auto" w:fill="E5E5E5"/>
          </w:tcPr>
          <w:p>
            <w:pPr>
              <w:ind w:left="20"/>
              <w:spacing w:after="0" w:line="54" w:lineRule="exact"/>
              <w:rPr>
                <w:sz w:val="20"/>
                <w:szCs w:val="20"/>
                <w:color w:val="auto"/>
              </w:rPr>
            </w:pPr>
            <w:r>
              <w:rPr>
                <w:rFonts w:ascii="Arial" w:cs="Arial" w:eastAsia="Arial" w:hAnsi="Arial"/>
                <w:sz w:val="6"/>
                <w:szCs w:val="6"/>
                <w:color w:val="auto"/>
              </w:rPr>
              <w:t>​</w:t>
            </w:r>
          </w:p>
        </w:tc>
        <w:tc>
          <w:tcPr>
            <w:tcW w:w="700" w:type="dxa"/>
            <w:vAlign w:val="bottom"/>
            <w:shd w:val="clear" w:color="auto" w:fill="E5E5E5"/>
          </w:tcPr>
          <w:p>
            <w:pPr>
              <w:spacing w:after="0"/>
              <w:rPr>
                <w:sz w:val="4"/>
                <w:szCs w:val="4"/>
                <w:color w:val="auto"/>
              </w:rPr>
            </w:pPr>
          </w:p>
        </w:tc>
        <w:tc>
          <w:tcPr>
            <w:tcW w:w="180" w:type="dxa"/>
            <w:vAlign w:val="bottom"/>
            <w:shd w:val="clear" w:color="auto" w:fill="E5E5E5"/>
          </w:tcPr>
          <w:p>
            <w:pPr>
              <w:jc w:val="right"/>
              <w:spacing w:after="0" w:line="54" w:lineRule="exact"/>
              <w:rPr>
                <w:sz w:val="20"/>
                <w:szCs w:val="20"/>
                <w:color w:val="auto"/>
              </w:rPr>
            </w:pPr>
            <w:r>
              <w:rPr>
                <w:rFonts w:ascii="Arial" w:cs="Arial" w:eastAsia="Arial" w:hAnsi="Arial"/>
                <w:sz w:val="6"/>
                <w:szCs w:val="6"/>
                <w:color w:val="auto"/>
              </w:rPr>
              <w:t>​​​​</w:t>
            </w:r>
          </w:p>
        </w:tc>
        <w:tc>
          <w:tcPr>
            <w:tcW w:w="760" w:type="dxa"/>
            <w:vAlign w:val="bottom"/>
            <w:shd w:val="clear" w:color="auto" w:fill="E5E5E5"/>
          </w:tcPr>
          <w:p>
            <w:pPr>
              <w:spacing w:after="0"/>
              <w:rPr>
                <w:sz w:val="4"/>
                <w:szCs w:val="4"/>
                <w:color w:val="auto"/>
              </w:rPr>
            </w:pPr>
          </w:p>
        </w:tc>
        <w:tc>
          <w:tcPr>
            <w:tcW w:w="180" w:type="dxa"/>
            <w:vAlign w:val="bottom"/>
            <w:gridSpan w:val="3"/>
            <w:vMerge w:val="continue"/>
            <w:shd w:val="clear" w:color="auto" w:fill="E5E5E5"/>
          </w:tcPr>
          <w:p>
            <w:pPr>
              <w:spacing w:after="0"/>
              <w:rPr>
                <w:sz w:val="4"/>
                <w:szCs w:val="4"/>
                <w:color w:val="auto"/>
              </w:rPr>
            </w:pPr>
          </w:p>
        </w:tc>
        <w:tc>
          <w:tcPr>
            <w:tcW w:w="260" w:type="dxa"/>
            <w:vAlign w:val="bottom"/>
            <w:shd w:val="clear" w:color="auto" w:fill="E5E5E5"/>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shd w:val="clear" w:color="auto" w:fill="E5E5E5"/>
          </w:tcPr>
          <w:p>
            <w:pPr>
              <w:spacing w:after="0"/>
              <w:rPr>
                <w:sz w:val="4"/>
                <w:szCs w:val="4"/>
                <w:color w:val="auto"/>
              </w:rPr>
            </w:pPr>
          </w:p>
        </w:tc>
        <w:tc>
          <w:tcPr>
            <w:tcW w:w="120" w:type="dxa"/>
            <w:vAlign w:val="bottom"/>
            <w:vMerge w:val="continue"/>
            <w:shd w:val="clear" w:color="auto" w:fill="E5E5E5"/>
          </w:tcPr>
          <w:p>
            <w:pPr>
              <w:spacing w:after="0"/>
              <w:rPr>
                <w:sz w:val="4"/>
                <w:szCs w:val="4"/>
                <w:color w:val="auto"/>
              </w:rPr>
            </w:pPr>
          </w:p>
        </w:tc>
        <w:tc>
          <w:tcPr>
            <w:tcW w:w="300" w:type="dxa"/>
            <w:vAlign w:val="bottom"/>
            <w:shd w:val="clear" w:color="auto" w:fill="E5E5E5"/>
          </w:tcPr>
          <w:p>
            <w:pPr>
              <w:ind w:left="200"/>
              <w:spacing w:after="0" w:line="54" w:lineRule="exact"/>
              <w:rPr>
                <w:sz w:val="20"/>
                <w:szCs w:val="20"/>
                <w:color w:val="auto"/>
              </w:rPr>
            </w:pPr>
            <w:r>
              <w:rPr>
                <w:rFonts w:ascii="Arial" w:cs="Arial" w:eastAsia="Arial" w:hAnsi="Arial"/>
                <w:sz w:val="6"/>
                <w:szCs w:val="6"/>
                <w:color w:val="auto"/>
              </w:rPr>
              <w:t>​</w:t>
            </w:r>
          </w:p>
        </w:tc>
        <w:tc>
          <w:tcPr>
            <w:tcW w:w="700" w:type="dxa"/>
            <w:vAlign w:val="bottom"/>
            <w:shd w:val="clear" w:color="auto" w:fill="E5E5E5"/>
          </w:tcPr>
          <w:p>
            <w:pPr>
              <w:spacing w:after="0"/>
              <w:rPr>
                <w:sz w:val="4"/>
                <w:szCs w:val="4"/>
                <w:color w:val="auto"/>
              </w:rPr>
            </w:pPr>
          </w:p>
        </w:tc>
        <w:tc>
          <w:tcPr>
            <w:tcW w:w="200" w:type="dxa"/>
            <w:vAlign w:val="bottom"/>
            <w:gridSpan w:val="2"/>
            <w:shd w:val="clear" w:color="auto" w:fill="E5E5E5"/>
          </w:tcPr>
          <w:p>
            <w:pPr>
              <w:jc w:val="center"/>
              <w:spacing w:after="0" w:line="54" w:lineRule="exact"/>
              <w:rPr>
                <w:sz w:val="20"/>
                <w:szCs w:val="20"/>
                <w:color w:val="auto"/>
              </w:rPr>
            </w:pPr>
            <w:r>
              <w:rPr>
                <w:rFonts w:ascii="Arial" w:cs="Arial" w:eastAsia="Arial" w:hAnsi="Arial"/>
                <w:sz w:val="6"/>
                <w:szCs w:val="6"/>
                <w:color w:val="auto"/>
              </w:rPr>
              <w:t>​​ ​</w:t>
            </w:r>
          </w:p>
        </w:tc>
        <w:tc>
          <w:tcPr>
            <w:tcW w:w="320" w:type="dxa"/>
            <w:vAlign w:val="bottom"/>
            <w:shd w:val="clear" w:color="auto" w:fill="E5E5E5"/>
          </w:tcPr>
          <w:p>
            <w:pPr>
              <w:spacing w:after="0"/>
              <w:rPr>
                <w:sz w:val="4"/>
                <w:szCs w:val="4"/>
                <w:color w:val="auto"/>
              </w:rPr>
            </w:pPr>
          </w:p>
        </w:tc>
        <w:tc>
          <w:tcPr>
            <w:tcW w:w="160" w:type="dxa"/>
            <w:vAlign w:val="bottom"/>
            <w:vMerge w:val="continue"/>
            <w:shd w:val="clear" w:color="auto" w:fill="E5E5E5"/>
          </w:tcPr>
          <w:p>
            <w:pPr>
              <w:spacing w:after="0"/>
              <w:rPr>
                <w:sz w:val="4"/>
                <w:szCs w:val="4"/>
                <w:color w:val="auto"/>
              </w:rPr>
            </w:pPr>
          </w:p>
        </w:tc>
        <w:tc>
          <w:tcPr>
            <w:tcW w:w="180" w:type="dxa"/>
            <w:vAlign w:val="bottom"/>
            <w:shd w:val="clear" w:color="auto" w:fill="E5E5E5"/>
          </w:tcPr>
          <w:p>
            <w:pPr>
              <w:ind w:left="60"/>
              <w:spacing w:after="0" w:line="54" w:lineRule="exact"/>
              <w:rPr>
                <w:sz w:val="20"/>
                <w:szCs w:val="20"/>
                <w:color w:val="auto"/>
              </w:rPr>
            </w:pPr>
            <w:r>
              <w:rPr>
                <w:rFonts w:ascii="Arial" w:cs="Arial" w:eastAsia="Arial" w:hAnsi="Arial"/>
                <w:sz w:val="6"/>
                <w:szCs w:val="6"/>
                <w:color w:val="auto"/>
              </w:rPr>
              <w:t>​</w:t>
            </w:r>
          </w:p>
        </w:tc>
        <w:tc>
          <w:tcPr>
            <w:tcW w:w="280" w:type="dxa"/>
            <w:vAlign w:val="bottom"/>
            <w:shd w:val="clear" w:color="auto" w:fill="E5E5E5"/>
          </w:tcPr>
          <w:p>
            <w:pPr>
              <w:spacing w:after="0"/>
              <w:rPr>
                <w:sz w:val="4"/>
                <w:szCs w:val="4"/>
                <w:color w:val="auto"/>
              </w:rPr>
            </w:pPr>
          </w:p>
        </w:tc>
        <w:tc>
          <w:tcPr>
            <w:tcW w:w="120" w:type="dxa"/>
            <w:vAlign w:val="bottom"/>
            <w:vMerge w:val="continue"/>
            <w:shd w:val="clear" w:color="auto" w:fill="E5E5E5"/>
          </w:tcPr>
          <w:p>
            <w:pPr>
              <w:spacing w:after="0"/>
              <w:rPr>
                <w:sz w:val="4"/>
                <w:szCs w:val="4"/>
                <w:color w:val="auto"/>
              </w:rPr>
            </w:pPr>
          </w:p>
        </w:tc>
        <w:tc>
          <w:tcPr>
            <w:tcW w:w="240" w:type="dxa"/>
            <w:vAlign w:val="bottom"/>
            <w:vMerge w:val="continue"/>
            <w:shd w:val="clear" w:color="auto" w:fill="E5E5E5"/>
          </w:tcPr>
          <w:p>
            <w:pPr>
              <w:spacing w:after="0"/>
              <w:rPr>
                <w:sz w:val="4"/>
                <w:szCs w:val="4"/>
                <w:color w:val="auto"/>
              </w:rPr>
            </w:pPr>
          </w:p>
        </w:tc>
        <w:tc>
          <w:tcPr>
            <w:tcW w:w="160" w:type="dxa"/>
            <w:vAlign w:val="bottom"/>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140" w:type="dxa"/>
            <w:vAlign w:val="bottom"/>
            <w:vMerge w:val="continue"/>
            <w:shd w:val="clear" w:color="auto" w:fill="E5E5E5"/>
          </w:tcPr>
          <w:p>
            <w:pPr>
              <w:spacing w:after="0"/>
              <w:rPr>
                <w:sz w:val="4"/>
                <w:szCs w:val="4"/>
                <w:color w:val="auto"/>
              </w:rPr>
            </w:pPr>
          </w:p>
        </w:tc>
        <w:tc>
          <w:tcPr>
            <w:tcW w:w="280" w:type="dxa"/>
            <w:vAlign w:val="bottom"/>
            <w:vMerge w:val="continue"/>
            <w:shd w:val="clear" w:color="auto" w:fill="E5E5E5"/>
          </w:tcPr>
          <w:p>
            <w:pPr>
              <w:spacing w:after="0"/>
              <w:rPr>
                <w:sz w:val="4"/>
                <w:szCs w:val="4"/>
                <w:color w:val="auto"/>
              </w:rPr>
            </w:pPr>
          </w:p>
        </w:tc>
        <w:tc>
          <w:tcPr>
            <w:tcW w:w="160" w:type="dxa"/>
            <w:vAlign w:val="bottom"/>
            <w:shd w:val="clear" w:color="auto" w:fill="E5E5E5"/>
          </w:tcPr>
          <w:p>
            <w:pPr>
              <w:spacing w:after="0"/>
              <w:rPr>
                <w:sz w:val="4"/>
                <w:szCs w:val="4"/>
                <w:color w:val="auto"/>
              </w:rPr>
            </w:pPr>
          </w:p>
        </w:tc>
        <w:tc>
          <w:tcPr>
            <w:tcW w:w="260" w:type="dxa"/>
            <w:vAlign w:val="bottom"/>
            <w:shd w:val="clear" w:color="auto" w:fill="E5E5E5"/>
          </w:tcPr>
          <w:p>
            <w:pPr>
              <w:spacing w:after="0"/>
              <w:rPr>
                <w:sz w:val="4"/>
                <w:szCs w:val="4"/>
                <w:color w:val="auto"/>
              </w:rPr>
            </w:pPr>
          </w:p>
        </w:tc>
        <w:tc>
          <w:tcPr>
            <w:tcW w:w="6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6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2024</w:t>
            </w:r>
          </w:p>
        </w:tc>
        <w:tc>
          <w:tcPr>
            <w:tcW w:w="200" w:type="dxa"/>
            <w:vAlign w:val="bottom"/>
            <w:gridSpan w:val="2"/>
          </w:tcPr>
          <w:p>
            <w:pPr>
              <w:jc w:val="right"/>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1080" w:type="dxa"/>
            <w:vAlign w:val="bottom"/>
            <w:gridSpan w:val="3"/>
          </w:tcPr>
          <w:p>
            <w:pPr>
              <w:jc w:val="right"/>
              <w:ind w:right="68"/>
              <w:spacing w:after="0" w:line="230" w:lineRule="exact"/>
              <w:rPr>
                <w:sz w:val="20"/>
                <w:szCs w:val="20"/>
                <w:color w:val="auto"/>
              </w:rPr>
            </w:pPr>
            <w:r>
              <w:rPr>
                <w:rFonts w:ascii="Arial" w:cs="Arial" w:eastAsia="Arial" w:hAnsi="Arial"/>
                <w:sz w:val="14"/>
                <w:szCs w:val="14"/>
                <w:color w:val="auto"/>
              </w:rPr>
              <w:t>9,508,913</w:t>
            </w:r>
            <w:r>
              <w:rPr>
                <w:rFonts w:ascii="Arial" w:cs="Arial" w:eastAsia="Arial" w:hAnsi="Arial"/>
                <w:sz w:val="26"/>
                <w:szCs w:val="26"/>
                <w:color w:val="auto"/>
                <w:vertAlign w:val="subscript"/>
              </w:rPr>
              <w:t>​​​​ ​</w:t>
            </w:r>
          </w:p>
        </w:tc>
        <w:tc>
          <w:tcPr>
            <w:tcW w:w="600" w:type="dxa"/>
            <w:vAlign w:val="bottom"/>
          </w:tcPr>
          <w:p>
            <w:pPr>
              <w:spacing w:after="0"/>
              <w:rPr>
                <w:sz w:val="19"/>
                <w:szCs w:val="19"/>
                <w:color w:val="auto"/>
              </w:rPr>
            </w:pPr>
          </w:p>
        </w:tc>
        <w:tc>
          <w:tcPr>
            <w:tcW w:w="18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1640" w:type="dxa"/>
            <w:vAlign w:val="bottom"/>
            <w:gridSpan w:val="3"/>
          </w:tcPr>
          <w:p>
            <w:pPr>
              <w:jc w:val="right"/>
              <w:ind w:right="610"/>
              <w:spacing w:after="0" w:line="230" w:lineRule="exact"/>
              <w:rPr>
                <w:sz w:val="20"/>
                <w:szCs w:val="20"/>
                <w:color w:val="auto"/>
              </w:rPr>
            </w:pPr>
            <w:r>
              <w:rPr>
                <w:rFonts w:ascii="Arial" w:cs="Arial" w:eastAsia="Arial" w:hAnsi="Arial"/>
                <w:sz w:val="14"/>
                <w:szCs w:val="14"/>
                <w:color w:val="auto"/>
              </w:rPr>
              <w:t>3,375,977</w:t>
            </w:r>
            <w:r>
              <w:rPr>
                <w:rFonts w:ascii="Arial" w:cs="Arial" w:eastAsia="Arial" w:hAnsi="Arial"/>
                <w:sz w:val="26"/>
                <w:szCs w:val="26"/>
                <w:color w:val="auto"/>
                <w:vertAlign w:val="subscript"/>
              </w:rPr>
              <w:t>​​​​ ​</w:t>
            </w:r>
          </w:p>
        </w:tc>
        <w:tc>
          <w:tcPr>
            <w:tcW w:w="180" w:type="dxa"/>
            <w:vAlign w:val="bottom"/>
            <w:gridSpan w:val="3"/>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860" w:type="dxa"/>
            <w:vAlign w:val="bottom"/>
            <w:gridSpan w:val="2"/>
          </w:tcPr>
          <w:p>
            <w:pPr>
              <w:jc w:val="right"/>
              <w:spacing w:after="0" w:line="230" w:lineRule="exact"/>
              <w:rPr>
                <w:sz w:val="20"/>
                <w:szCs w:val="20"/>
                <w:color w:val="auto"/>
              </w:rPr>
            </w:pPr>
            <w:r>
              <w:rPr>
                <w:rFonts w:ascii="Arial" w:cs="Arial" w:eastAsia="Arial" w:hAnsi="Arial"/>
                <w:sz w:val="14"/>
                <w:szCs w:val="14"/>
                <w:color w:val="auto"/>
              </w:rPr>
              <w:t>1,999,439</w:t>
            </w:r>
            <w:r>
              <w:rPr>
                <w:rFonts w:ascii="Arial" w:cs="Arial" w:eastAsia="Arial" w:hAnsi="Arial"/>
                <w:sz w:val="26"/>
                <w:szCs w:val="26"/>
                <w:color w:val="auto"/>
                <w:vertAlign w:val="subscript"/>
              </w:rPr>
              <w:t>​​</w:t>
            </w:r>
          </w:p>
        </w:tc>
        <w:tc>
          <w:tcPr>
            <w:tcW w:w="300" w:type="dxa"/>
            <w:vAlign w:val="bottom"/>
          </w:tcPr>
          <w:p>
            <w:pPr>
              <w:ind w:left="20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900" w:type="dxa"/>
            <w:vAlign w:val="bottom"/>
            <w:gridSpan w:val="3"/>
          </w:tcPr>
          <w:p>
            <w:pPr>
              <w:jc w:val="right"/>
              <w:spacing w:after="0" w:line="230" w:lineRule="exact"/>
              <w:rPr>
                <w:sz w:val="20"/>
                <w:szCs w:val="20"/>
                <w:color w:val="auto"/>
              </w:rPr>
            </w:pPr>
            <w:r>
              <w:rPr>
                <w:rFonts w:ascii="Arial" w:cs="Arial" w:eastAsia="Arial" w:hAnsi="Arial"/>
                <w:sz w:val="14"/>
                <w:szCs w:val="14"/>
                <w:color w:val="auto"/>
              </w:rPr>
              <w:t>1,072,539</w:t>
            </w:r>
            <w:r>
              <w:rPr>
                <w:rFonts w:ascii="Arial" w:cs="Arial" w:eastAsia="Arial" w:hAnsi="Arial"/>
                <w:sz w:val="26"/>
                <w:szCs w:val="26"/>
                <w:color w:val="auto"/>
                <w:vertAlign w:val="subscript"/>
              </w:rPr>
              <w:t>​​ ​</w:t>
            </w:r>
            <w:r>
              <w:rPr>
                <w:rFonts w:ascii="Arial" w:cs="Arial" w:eastAsia="Arial" w:hAnsi="Arial"/>
                <w:sz w:val="14"/>
                <w:szCs w:val="14"/>
                <w:color w:val="auto"/>
              </w:rPr>
              <w:t>$</w:t>
            </w:r>
          </w:p>
        </w:tc>
        <w:tc>
          <w:tcPr>
            <w:tcW w:w="1060" w:type="dxa"/>
            <w:vAlign w:val="bottom"/>
            <w:gridSpan w:val="5"/>
          </w:tcPr>
          <w:p>
            <w:pPr>
              <w:jc w:val="right"/>
              <w:spacing w:after="0" w:line="230" w:lineRule="exact"/>
              <w:rPr>
                <w:sz w:val="20"/>
                <w:szCs w:val="20"/>
                <w:color w:val="auto"/>
              </w:rPr>
            </w:pPr>
            <w:r>
              <w:rPr>
                <w:rFonts w:ascii="Arial" w:cs="Arial" w:eastAsia="Arial" w:hAnsi="Arial"/>
                <w:sz w:val="14"/>
                <w:szCs w:val="14"/>
                <w:color w:val="auto"/>
              </w:rPr>
              <w:t>128</w:t>
            </w:r>
            <w:r>
              <w:rPr>
                <w:rFonts w:ascii="Arial" w:cs="Arial" w:eastAsia="Arial" w:hAnsi="Arial"/>
                <w:sz w:val="26"/>
                <w:szCs w:val="26"/>
                <w:color w:val="auto"/>
                <w:vertAlign w:val="subscript"/>
              </w:rPr>
              <w:t>​​​ ​</w:t>
            </w:r>
            <w:r>
              <w:rPr>
                <w:rFonts w:ascii="Arial" w:cs="Arial" w:eastAsia="Arial" w:hAnsi="Arial"/>
                <w:sz w:val="14"/>
                <w:szCs w:val="14"/>
                <w:color w:val="auto"/>
              </w:rPr>
              <w:t>$ 199</w:t>
            </w:r>
            <w:r>
              <w:rPr>
                <w:rFonts w:ascii="Arial" w:cs="Arial" w:eastAsia="Arial" w:hAnsi="Arial"/>
                <w:sz w:val="26"/>
                <w:szCs w:val="26"/>
                <w:color w:val="auto"/>
                <w:vertAlign w:val="subscript"/>
              </w:rPr>
              <w:t>​​</w:t>
            </w:r>
          </w:p>
        </w:tc>
        <w:tc>
          <w:tcPr>
            <w:tcW w:w="720" w:type="dxa"/>
            <w:vAlign w:val="bottom"/>
            <w:gridSpan w:val="4"/>
          </w:tcPr>
          <w:p>
            <w:pPr>
              <w:ind w:left="20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$124</w:t>
            </w:r>
            <w:r>
              <w:rPr>
                <w:rFonts w:ascii="Arial" w:cs="Arial" w:eastAsia="Arial" w:hAnsi="Arial"/>
                <w:sz w:val="26"/>
                <w:szCs w:val="26"/>
                <w:color w:val="auto"/>
                <w:vertAlign w:val="subscript"/>
              </w:rPr>
              <w:t>​​</w:t>
            </w:r>
          </w:p>
        </w:tc>
        <w:tc>
          <w:tcPr>
            <w:tcW w:w="440" w:type="dxa"/>
            <w:vAlign w:val="bottom"/>
            <w:gridSpan w:val="2"/>
          </w:tcPr>
          <w:p>
            <w:pPr>
              <w:ind w:left="24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360" w:type="dxa"/>
            <w:vAlign w:val="bottom"/>
            <w:gridSpan w:val="3"/>
          </w:tcPr>
          <w:p>
            <w:pPr>
              <w:ind w:left="20"/>
              <w:spacing w:after="0" w:line="230" w:lineRule="exact"/>
              <w:rPr>
                <w:sz w:val="20"/>
                <w:szCs w:val="20"/>
                <w:color w:val="auto"/>
              </w:rPr>
            </w:pPr>
            <w:r>
              <w:rPr>
                <w:rFonts w:ascii="Arial" w:cs="Arial" w:eastAsia="Arial" w:hAnsi="Arial"/>
                <w:sz w:val="14"/>
                <w:szCs w:val="14"/>
                <w:color w:val="auto"/>
              </w:rPr>
              <w:t>489</w:t>
            </w:r>
            <w:r>
              <w:rPr>
                <w:rFonts w:ascii="Arial" w:cs="Arial" w:eastAsia="Arial" w:hAnsi="Arial"/>
                <w:sz w:val="26"/>
                <w:szCs w:val="26"/>
                <w:color w:val="auto"/>
                <w:vertAlign w:val="subscript"/>
              </w:rPr>
              <w:t>​​</w:t>
            </w:r>
          </w:p>
        </w:tc>
        <w:tc>
          <w:tcPr>
            <w:tcW w:w="0" w:type="dxa"/>
            <w:vAlign w:val="bottom"/>
          </w:tcPr>
          <w:p>
            <w:pPr>
              <w:spacing w:after="0"/>
              <w:rPr>
                <w:sz w:val="1"/>
                <w:szCs w:val="1"/>
                <w:color w:val="auto"/>
              </w:rPr>
            </w:pPr>
          </w:p>
        </w:tc>
      </w:tr>
      <w:tr>
        <w:trPr>
          <w:trHeight w:val="175"/>
        </w:trPr>
        <w:tc>
          <w:tcPr>
            <w:tcW w:w="460" w:type="dxa"/>
            <w:vAlign w:val="bottom"/>
            <w:shd w:val="clear" w:color="auto" w:fill="E5E5E5"/>
          </w:tcPr>
          <w:p>
            <w:pPr>
              <w:ind w:left="20"/>
              <w:spacing w:after="0"/>
              <w:rPr>
                <w:sz w:val="20"/>
                <w:szCs w:val="20"/>
                <w:color w:val="auto"/>
              </w:rPr>
            </w:pPr>
            <w:r>
              <w:rPr>
                <w:rFonts w:ascii="Arial" w:cs="Arial" w:eastAsia="Arial" w:hAnsi="Arial"/>
                <w:sz w:val="14"/>
                <w:szCs w:val="14"/>
                <w:color w:val="auto"/>
              </w:rPr>
              <w:t>2023</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9,791,051</w:t>
            </w:r>
          </w:p>
        </w:tc>
        <w:tc>
          <w:tcPr>
            <w:tcW w:w="380" w:type="dxa"/>
            <w:vAlign w:val="bottom"/>
            <w:gridSpan w:val="2"/>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shd w:val="clear" w:color="auto" w:fill="E5E5E5"/>
          </w:tcPr>
          <w:p>
            <w:pPr>
              <w:spacing w:after="0"/>
              <w:rPr>
                <w:sz w:val="15"/>
                <w:szCs w:val="15"/>
                <w:color w:val="auto"/>
              </w:rPr>
            </w:pPr>
          </w:p>
        </w:tc>
        <w:tc>
          <w:tcPr>
            <w:tcW w:w="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$ 15,601,868</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5E5E5"/>
          </w:tcPr>
          <w:p>
            <w:pPr>
              <w:jc w:val="right"/>
              <w:ind w:right="61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2,825,497</w:t>
            </w:r>
          </w:p>
        </w:tc>
        <w:tc>
          <w:tcPr>
            <w:tcW w:w="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$ 3,893,968</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142</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163</w:t>
            </w:r>
          </w:p>
        </w:tc>
        <w:tc>
          <w:tcPr>
            <w:tcW w:w="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E5E5E5"/>
          </w:tcPr>
          <w:p>
            <w:pPr>
              <w:ind w:lef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E5E5E5"/>
          </w:tcPr>
          <w:p>
            <w:pPr>
              <w:jc w:val="right"/>
              <w:ind w:right="38"/>
              <w:spacing w:after="0"/>
              <w:rPr>
                <w:sz w:val="20"/>
                <w:szCs w:val="20"/>
                <w:color w:val="auto"/>
              </w:rPr>
            </w:pPr>
            <w:r>
              <w:rPr>
                <w:rFonts w:ascii="Arial" w:cs="Arial" w:eastAsia="Arial" w:hAnsi="Arial"/>
                <w:sz w:val="14"/>
                <w:szCs w:val="14"/>
                <w:color w:val="auto"/>
              </w:rPr>
              <w:t>(5)</w:t>
            </w:r>
          </w:p>
        </w:tc>
        <w:tc>
          <w:tcPr>
            <w:tcW w:w="280" w:type="dxa"/>
            <w:vAlign w:val="bottom"/>
            <w:vMerge w:val="restart"/>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ind w:left="20"/>
              <w:spacing w:after="0"/>
              <w:rPr>
                <w:sz w:val="20"/>
                <w:szCs w:val="20"/>
                <w:color w:val="auto"/>
              </w:rPr>
            </w:pPr>
            <w:r>
              <w:rPr>
                <w:rFonts w:ascii="Arial" w:cs="Arial" w:eastAsia="Arial" w:hAnsi="Arial"/>
                <w:sz w:val="14"/>
                <w:szCs w:val="14"/>
                <w:color w:val="auto"/>
                <w:w w:val="94"/>
              </w:rPr>
              <w:t>474</w:t>
            </w:r>
          </w:p>
        </w:tc>
        <w:tc>
          <w:tcPr>
            <w:tcW w:w="6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60" w:type="dxa"/>
            <w:vAlign w:val="bottom"/>
            <w:shd w:val="clear" w:color="auto" w:fill="E5E5E5"/>
          </w:tcPr>
          <w:p>
            <w:pPr>
              <w:ind w:left="20"/>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E5E5E5"/>
          </w:tcPr>
          <w:p>
            <w:pPr>
              <w:jc w:val="center"/>
              <w:ind w:right="24"/>
              <w:spacing w:after="0" w:line="54" w:lineRule="exact"/>
              <w:rPr>
                <w:sz w:val="20"/>
                <w:szCs w:val="20"/>
                <w:color w:val="auto"/>
              </w:rPr>
            </w:pPr>
            <w:r>
              <w:rPr>
                <w:rFonts w:ascii="Arial" w:cs="Arial" w:eastAsia="Arial" w:hAnsi="Arial"/>
                <w:sz w:val="6"/>
                <w:szCs w:val="6"/>
                <w:color w:val="auto"/>
              </w:rPr>
              <w:t>​​</w:t>
            </w:r>
          </w:p>
        </w:tc>
        <w:tc>
          <w:tcPr>
            <w:tcW w:w="700" w:type="dxa"/>
            <w:vAlign w:val="bottom"/>
            <w:shd w:val="clear" w:color="auto" w:fill="E5E5E5"/>
          </w:tcPr>
          <w:p>
            <w:pPr>
              <w:spacing w:after="0"/>
              <w:rPr>
                <w:sz w:val="4"/>
                <w:szCs w:val="4"/>
                <w:color w:val="auto"/>
              </w:rPr>
            </w:pPr>
          </w:p>
        </w:tc>
        <w:tc>
          <w:tcPr>
            <w:tcW w:w="380" w:type="dxa"/>
            <w:vAlign w:val="bottom"/>
            <w:gridSpan w:val="2"/>
            <w:vMerge w:val="continue"/>
            <w:shd w:val="clear" w:color="auto" w:fill="E5E5E5"/>
          </w:tcPr>
          <w:p>
            <w:pPr>
              <w:spacing w:after="0"/>
              <w:rPr>
                <w:sz w:val="4"/>
                <w:szCs w:val="4"/>
                <w:color w:val="auto"/>
              </w:rPr>
            </w:pPr>
          </w:p>
        </w:tc>
        <w:tc>
          <w:tcPr>
            <w:tcW w:w="600" w:type="dxa"/>
            <w:vAlign w:val="bottom"/>
            <w:shd w:val="clear" w:color="auto" w:fill="E5E5E5"/>
          </w:tcPr>
          <w:p>
            <w:pPr>
              <w:spacing w:after="0"/>
              <w:rPr>
                <w:sz w:val="4"/>
                <w:szCs w:val="4"/>
                <w:color w:val="auto"/>
              </w:rPr>
            </w:pPr>
          </w:p>
        </w:tc>
        <w:tc>
          <w:tcPr>
            <w:tcW w:w="180" w:type="dxa"/>
            <w:vAlign w:val="bottom"/>
            <w:shd w:val="clear" w:color="auto" w:fill="E5E5E5"/>
          </w:tcPr>
          <w:p>
            <w:pPr>
              <w:ind w:left="20"/>
              <w:spacing w:after="0" w:line="54" w:lineRule="exact"/>
              <w:rPr>
                <w:sz w:val="20"/>
                <w:szCs w:val="20"/>
                <w:color w:val="auto"/>
              </w:rPr>
            </w:pPr>
            <w:r>
              <w:rPr>
                <w:rFonts w:ascii="Arial" w:cs="Arial" w:eastAsia="Arial" w:hAnsi="Arial"/>
                <w:sz w:val="6"/>
                <w:szCs w:val="6"/>
                <w:color w:val="auto"/>
              </w:rPr>
              <w:t>​</w:t>
            </w:r>
          </w:p>
        </w:tc>
        <w:tc>
          <w:tcPr>
            <w:tcW w:w="700" w:type="dxa"/>
            <w:vAlign w:val="bottom"/>
            <w:shd w:val="clear" w:color="auto" w:fill="E5E5E5"/>
          </w:tcPr>
          <w:p>
            <w:pPr>
              <w:spacing w:after="0"/>
              <w:rPr>
                <w:sz w:val="4"/>
                <w:szCs w:val="4"/>
                <w:color w:val="auto"/>
              </w:rPr>
            </w:pPr>
          </w:p>
        </w:tc>
        <w:tc>
          <w:tcPr>
            <w:tcW w:w="1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180" w:type="dxa"/>
            <w:vAlign w:val="bottom"/>
            <w:gridSpan w:val="3"/>
            <w:vMerge w:val="continue"/>
            <w:shd w:val="clear" w:color="auto" w:fill="E5E5E5"/>
          </w:tcPr>
          <w:p>
            <w:pPr>
              <w:spacing w:after="0"/>
              <w:rPr>
                <w:sz w:val="4"/>
                <w:szCs w:val="4"/>
                <w:color w:val="auto"/>
              </w:rPr>
            </w:pPr>
          </w:p>
        </w:tc>
        <w:tc>
          <w:tcPr>
            <w:tcW w:w="260" w:type="dxa"/>
            <w:vAlign w:val="bottom"/>
            <w:shd w:val="clear" w:color="auto" w:fill="E5E5E5"/>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shd w:val="clear" w:color="auto" w:fill="E5E5E5"/>
          </w:tcPr>
          <w:p>
            <w:pPr>
              <w:spacing w:after="0"/>
              <w:rPr>
                <w:sz w:val="4"/>
                <w:szCs w:val="4"/>
                <w:color w:val="auto"/>
              </w:rPr>
            </w:pPr>
          </w:p>
        </w:tc>
        <w:tc>
          <w:tcPr>
            <w:tcW w:w="120" w:type="dxa"/>
            <w:vAlign w:val="bottom"/>
            <w:vMerge w:val="continue"/>
            <w:shd w:val="clear" w:color="auto" w:fill="E5E5E5"/>
          </w:tcPr>
          <w:p>
            <w:pPr>
              <w:spacing w:after="0"/>
              <w:rPr>
                <w:sz w:val="4"/>
                <w:szCs w:val="4"/>
                <w:color w:val="auto"/>
              </w:rPr>
            </w:pPr>
          </w:p>
        </w:tc>
        <w:tc>
          <w:tcPr>
            <w:tcW w:w="300" w:type="dxa"/>
            <w:vAlign w:val="bottom"/>
            <w:shd w:val="clear" w:color="auto" w:fill="E5E5E5"/>
          </w:tcPr>
          <w:p>
            <w:pPr>
              <w:ind w:left="200"/>
              <w:spacing w:after="0" w:line="54" w:lineRule="exact"/>
              <w:rPr>
                <w:sz w:val="20"/>
                <w:szCs w:val="20"/>
                <w:color w:val="auto"/>
              </w:rPr>
            </w:pPr>
            <w:r>
              <w:rPr>
                <w:rFonts w:ascii="Arial" w:cs="Arial" w:eastAsia="Arial" w:hAnsi="Arial"/>
                <w:sz w:val="6"/>
                <w:szCs w:val="6"/>
                <w:color w:val="auto"/>
              </w:rPr>
              <w:t>​</w:t>
            </w:r>
          </w:p>
        </w:tc>
        <w:tc>
          <w:tcPr>
            <w:tcW w:w="700" w:type="dxa"/>
            <w:vAlign w:val="bottom"/>
            <w:shd w:val="clear" w:color="auto" w:fill="E5E5E5"/>
          </w:tcPr>
          <w:p>
            <w:pPr>
              <w:spacing w:after="0"/>
              <w:rPr>
                <w:sz w:val="4"/>
                <w:szCs w:val="4"/>
                <w:color w:val="auto"/>
              </w:rPr>
            </w:pPr>
          </w:p>
        </w:tc>
        <w:tc>
          <w:tcPr>
            <w:tcW w:w="200" w:type="dxa"/>
            <w:vAlign w:val="bottom"/>
            <w:gridSpan w:val="2"/>
            <w:shd w:val="clear" w:color="auto" w:fill="E5E5E5"/>
          </w:tcPr>
          <w:p>
            <w:pPr>
              <w:jc w:val="center"/>
              <w:spacing w:after="0" w:line="54" w:lineRule="exact"/>
              <w:rPr>
                <w:sz w:val="20"/>
                <w:szCs w:val="20"/>
                <w:color w:val="auto"/>
              </w:rPr>
            </w:pPr>
            <w:r>
              <w:rPr>
                <w:rFonts w:ascii="Arial" w:cs="Arial" w:eastAsia="Arial" w:hAnsi="Arial"/>
                <w:sz w:val="6"/>
                <w:szCs w:val="6"/>
                <w:color w:val="auto"/>
              </w:rPr>
              <w:t>​​ ​</w:t>
            </w:r>
          </w:p>
        </w:tc>
        <w:tc>
          <w:tcPr>
            <w:tcW w:w="320" w:type="dxa"/>
            <w:vAlign w:val="bottom"/>
            <w:shd w:val="clear" w:color="auto" w:fill="E5E5E5"/>
          </w:tcPr>
          <w:p>
            <w:pPr>
              <w:spacing w:after="0"/>
              <w:rPr>
                <w:sz w:val="4"/>
                <w:szCs w:val="4"/>
                <w:color w:val="auto"/>
              </w:rPr>
            </w:pPr>
          </w:p>
        </w:tc>
        <w:tc>
          <w:tcPr>
            <w:tcW w:w="160" w:type="dxa"/>
            <w:vAlign w:val="bottom"/>
            <w:vMerge w:val="continue"/>
            <w:shd w:val="clear" w:color="auto" w:fill="E5E5E5"/>
          </w:tcPr>
          <w:p>
            <w:pPr>
              <w:spacing w:after="0"/>
              <w:rPr>
                <w:sz w:val="4"/>
                <w:szCs w:val="4"/>
                <w:color w:val="auto"/>
              </w:rPr>
            </w:pPr>
          </w:p>
        </w:tc>
        <w:tc>
          <w:tcPr>
            <w:tcW w:w="180" w:type="dxa"/>
            <w:vAlign w:val="bottom"/>
            <w:shd w:val="clear" w:color="auto" w:fill="E5E5E5"/>
          </w:tcPr>
          <w:p>
            <w:pPr>
              <w:ind w:left="60"/>
              <w:spacing w:after="0" w:line="54" w:lineRule="exact"/>
              <w:rPr>
                <w:sz w:val="20"/>
                <w:szCs w:val="20"/>
                <w:color w:val="auto"/>
              </w:rPr>
            </w:pPr>
            <w:r>
              <w:rPr>
                <w:rFonts w:ascii="Arial" w:cs="Arial" w:eastAsia="Arial" w:hAnsi="Arial"/>
                <w:sz w:val="6"/>
                <w:szCs w:val="6"/>
                <w:color w:val="auto"/>
              </w:rPr>
              <w:t>​</w:t>
            </w:r>
          </w:p>
        </w:tc>
        <w:tc>
          <w:tcPr>
            <w:tcW w:w="280" w:type="dxa"/>
            <w:vAlign w:val="bottom"/>
            <w:shd w:val="clear" w:color="auto" w:fill="E5E5E5"/>
          </w:tcPr>
          <w:p>
            <w:pPr>
              <w:spacing w:after="0"/>
              <w:rPr>
                <w:sz w:val="4"/>
                <w:szCs w:val="4"/>
                <w:color w:val="auto"/>
              </w:rPr>
            </w:pPr>
          </w:p>
        </w:tc>
        <w:tc>
          <w:tcPr>
            <w:tcW w:w="120" w:type="dxa"/>
            <w:vAlign w:val="bottom"/>
            <w:vMerge w:val="continue"/>
            <w:shd w:val="clear" w:color="auto" w:fill="E5E5E5"/>
          </w:tcPr>
          <w:p>
            <w:pPr>
              <w:spacing w:after="0"/>
              <w:rPr>
                <w:sz w:val="4"/>
                <w:szCs w:val="4"/>
                <w:color w:val="auto"/>
              </w:rPr>
            </w:pPr>
          </w:p>
        </w:tc>
        <w:tc>
          <w:tcPr>
            <w:tcW w:w="240" w:type="dxa"/>
            <w:vAlign w:val="bottom"/>
            <w:vMerge w:val="continue"/>
            <w:shd w:val="clear" w:color="auto" w:fill="E5E5E5"/>
          </w:tcPr>
          <w:p>
            <w:pPr>
              <w:spacing w:after="0"/>
              <w:rPr>
                <w:sz w:val="4"/>
                <w:szCs w:val="4"/>
                <w:color w:val="auto"/>
              </w:rPr>
            </w:pPr>
          </w:p>
        </w:tc>
        <w:tc>
          <w:tcPr>
            <w:tcW w:w="160" w:type="dxa"/>
            <w:vAlign w:val="bottom"/>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140" w:type="dxa"/>
            <w:vAlign w:val="bottom"/>
            <w:shd w:val="clear" w:color="auto" w:fill="E5E5E5"/>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vMerge w:val="continue"/>
            <w:shd w:val="clear" w:color="auto" w:fill="E5E5E5"/>
          </w:tcPr>
          <w:p>
            <w:pPr>
              <w:spacing w:after="0"/>
              <w:rPr>
                <w:sz w:val="4"/>
                <w:szCs w:val="4"/>
                <w:color w:val="auto"/>
              </w:rPr>
            </w:pPr>
          </w:p>
        </w:tc>
        <w:tc>
          <w:tcPr>
            <w:tcW w:w="160" w:type="dxa"/>
            <w:vAlign w:val="bottom"/>
            <w:shd w:val="clear" w:color="auto" w:fill="E5E5E5"/>
          </w:tcPr>
          <w:p>
            <w:pPr>
              <w:spacing w:after="0"/>
              <w:rPr>
                <w:sz w:val="4"/>
                <w:szCs w:val="4"/>
                <w:color w:val="auto"/>
              </w:rPr>
            </w:pPr>
          </w:p>
        </w:tc>
        <w:tc>
          <w:tcPr>
            <w:tcW w:w="260" w:type="dxa"/>
            <w:vAlign w:val="bottom"/>
            <w:shd w:val="clear" w:color="auto" w:fill="E5E5E5"/>
          </w:tcPr>
          <w:p>
            <w:pPr>
              <w:spacing w:after="0"/>
              <w:rPr>
                <w:sz w:val="4"/>
                <w:szCs w:val="4"/>
                <w:color w:val="auto"/>
              </w:rPr>
            </w:pPr>
          </w:p>
        </w:tc>
        <w:tc>
          <w:tcPr>
            <w:tcW w:w="6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0" w:type="dxa"/>
            <w:vAlign w:val="bottom"/>
          </w:tcPr>
          <w:p>
            <w:pPr>
              <w:ind w:left="20"/>
              <w:spacing w:after="0" w:line="189" w:lineRule="exact"/>
              <w:rPr>
                <w:sz w:val="20"/>
                <w:szCs w:val="20"/>
                <w:color w:val="auto"/>
              </w:rPr>
            </w:pPr>
            <w:r>
              <w:rPr>
                <w:rFonts w:ascii="Arial" w:cs="Arial" w:eastAsia="Arial" w:hAnsi="Arial"/>
                <w:sz w:val="14"/>
                <w:szCs w:val="14"/>
                <w:color w:val="auto"/>
                <w:w w:val="93"/>
              </w:rPr>
              <w:t>2022</w:t>
            </w:r>
            <w:r>
              <w:rPr>
                <w:rFonts w:ascii="Arial" w:cs="Arial" w:eastAsia="Arial" w:hAnsi="Arial"/>
                <w:sz w:val="17"/>
                <w:szCs w:val="17"/>
                <w:color w:val="auto"/>
                <w:w w:val="93"/>
                <w:vertAlign w:val="superscript"/>
              </w:rPr>
              <w:t>(6)</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6,280,050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64"/>
              <w:spacing w:after="0"/>
              <w:rPr>
                <w:sz w:val="20"/>
                <w:szCs w:val="20"/>
                <w:color w:val="auto"/>
              </w:rPr>
            </w:pPr>
            <w:r>
              <w:rPr>
                <w:rFonts w:ascii="Arial" w:cs="Arial" w:eastAsia="Arial" w:hAnsi="Arial"/>
                <w:sz w:val="14"/>
                <w:szCs w:val="14"/>
                <w:color w:val="auto"/>
              </w:rPr>
              <w:t>(3,792,985)</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1,742,035</w:t>
            </w:r>
          </w:p>
        </w:tc>
        <w:tc>
          <w:tcPr>
            <w:tcW w:w="120" w:type="dxa"/>
            <w:vAlign w:val="bottom"/>
          </w:tcPr>
          <w:p>
            <w:pPr>
              <w:spacing w:after="0"/>
              <w:rPr>
                <w:sz w:val="16"/>
                <w:szCs w:val="16"/>
                <w:color w:val="auto"/>
              </w:rPr>
            </w:pPr>
          </w:p>
        </w:tc>
        <w:tc>
          <w:tcPr>
            <w:tcW w:w="300" w:type="dxa"/>
            <w:vAlign w:val="bottom"/>
            <w:vMerge w:val="restart"/>
          </w:tcPr>
          <w:p>
            <w:pPr>
              <w:ind w:left="220"/>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128,413</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6"/>
                <w:szCs w:val="16"/>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w w:val="94"/>
              </w:rPr>
              <w:t>459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ind w:left="20"/>
              <w:spacing w:after="0" w:line="81" w:lineRule="exact"/>
              <w:rPr>
                <w:sz w:val="20"/>
                <w:szCs w:val="20"/>
                <w:color w:val="auto"/>
              </w:rPr>
            </w:pPr>
            <w:r>
              <w:rPr>
                <w:rFonts w:ascii="Arial" w:cs="Arial" w:eastAsia="Arial" w:hAnsi="Arial"/>
                <w:sz w:val="9"/>
                <w:szCs w:val="9"/>
                <w:color w:val="auto"/>
              </w:rPr>
              <w:t>​</w:t>
            </w:r>
          </w:p>
        </w:tc>
        <w:tc>
          <w:tcPr>
            <w:tcW w:w="20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380" w:type="dxa"/>
            <w:vAlign w:val="bottom"/>
            <w:gridSpan w:val="2"/>
            <w:vMerge w:val="restart"/>
          </w:tcPr>
          <w:p>
            <w:pPr>
              <w:jc w:val="right"/>
              <w:ind w:right="68"/>
              <w:spacing w:after="0" w:line="81" w:lineRule="exact"/>
              <w:rPr>
                <w:sz w:val="20"/>
                <w:szCs w:val="20"/>
                <w:color w:val="auto"/>
              </w:rPr>
            </w:pPr>
            <w:r>
              <w:rPr>
                <w:rFonts w:ascii="Arial" w:cs="Arial" w:eastAsia="Arial" w:hAnsi="Arial"/>
                <w:sz w:val="9"/>
                <w:szCs w:val="9"/>
                <w:color w:val="auto"/>
              </w:rPr>
              <w:t>​​​​ ​</w:t>
            </w:r>
          </w:p>
        </w:tc>
        <w:tc>
          <w:tcPr>
            <w:tcW w:w="60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60" w:type="dxa"/>
            <w:vAlign w:val="bottom"/>
            <w:vMerge w:val="restart"/>
          </w:tcPr>
          <w:p>
            <w:pPr>
              <w:jc w:val="right"/>
              <w:ind w:right="610"/>
              <w:spacing w:after="0" w:line="81" w:lineRule="exact"/>
              <w:rPr>
                <w:sz w:val="20"/>
                <w:szCs w:val="20"/>
                <w:color w:val="auto"/>
              </w:rPr>
            </w:pPr>
            <w:r>
              <w:rPr>
                <w:rFonts w:ascii="Arial" w:cs="Arial" w:eastAsia="Arial" w:hAnsi="Arial"/>
                <w:sz w:val="9"/>
                <w:szCs w:val="9"/>
                <w:color w:val="auto"/>
              </w:rPr>
              <w:t>​</w:t>
            </w:r>
          </w:p>
        </w:tc>
        <w:tc>
          <w:tcPr>
            <w:tcW w:w="180" w:type="dxa"/>
            <w:vAlign w:val="bottom"/>
            <w:gridSpan w:val="3"/>
            <w:vMerge w:val="restart"/>
          </w:tcPr>
          <w:p>
            <w:pPr>
              <w:spacing w:after="0" w:line="81" w:lineRule="exact"/>
              <w:rPr>
                <w:sz w:val="20"/>
                <w:szCs w:val="20"/>
                <w:color w:val="auto"/>
              </w:rPr>
            </w:pPr>
            <w:r>
              <w:rPr>
                <w:rFonts w:ascii="Arial" w:cs="Arial" w:eastAsia="Arial" w:hAnsi="Arial"/>
                <w:sz w:val="9"/>
                <w:szCs w:val="9"/>
                <w:color w:val="auto"/>
              </w:rPr>
              <w:t>​​</w:t>
            </w:r>
          </w:p>
        </w:tc>
        <w:tc>
          <w:tcPr>
            <w:tcW w:w="2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3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60" w:type="dxa"/>
            <w:vAlign w:val="bottom"/>
            <w:vMerge w:val="restart"/>
          </w:tcPr>
          <w:p>
            <w:pPr>
              <w:jc w:val="center"/>
              <w:spacing w:after="0" w:line="81" w:lineRule="exact"/>
              <w:rPr>
                <w:sz w:val="20"/>
                <w:szCs w:val="20"/>
                <w:color w:val="auto"/>
              </w:rPr>
            </w:pPr>
            <w:r>
              <w:rPr>
                <w:rFonts w:ascii="Arial" w:cs="Arial" w:eastAsia="Arial" w:hAnsi="Arial"/>
                <w:sz w:val="9"/>
                <w:szCs w:val="9"/>
                <w:color w:val="auto"/>
              </w:rPr>
              <w:t>​​​</w:t>
            </w:r>
          </w:p>
        </w:tc>
        <w:tc>
          <w:tcPr>
            <w:tcW w:w="18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20" w:type="dxa"/>
            <w:vAlign w:val="bottom"/>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240" w:type="dxa"/>
            <w:vAlign w:val="bottom"/>
            <w:vMerge w:val="restart"/>
          </w:tcPr>
          <w:p>
            <w:pPr>
              <w:ind w:left="200"/>
              <w:spacing w:after="0" w:line="81" w:lineRule="exact"/>
              <w:rPr>
                <w:sz w:val="20"/>
                <w:szCs w:val="20"/>
                <w:color w:val="auto"/>
              </w:rPr>
            </w:pPr>
            <w:r>
              <w:rPr>
                <w:rFonts w:ascii="Arial" w:cs="Arial" w:eastAsia="Arial" w:hAnsi="Arial"/>
                <w:sz w:val="9"/>
                <w:szCs w:val="9"/>
                <w:color w:val="auto"/>
              </w:rPr>
              <w:t>​</w:t>
            </w:r>
          </w:p>
        </w:tc>
        <w:tc>
          <w:tcPr>
            <w:tcW w:w="1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40" w:type="dxa"/>
            <w:vAlign w:val="bottom"/>
            <w:vMerge w:val="restart"/>
          </w:tcPr>
          <w:p>
            <w:pPr>
              <w:spacing w:after="0" w:line="81" w:lineRule="exact"/>
              <w:rPr>
                <w:sz w:val="20"/>
                <w:szCs w:val="20"/>
                <w:color w:val="auto"/>
              </w:rPr>
            </w:pPr>
            <w:r>
              <w:rPr>
                <w:rFonts w:ascii="Arial" w:cs="Arial" w:eastAsia="Arial" w:hAnsi="Arial"/>
                <w:sz w:val="9"/>
                <w:szCs w:val="9"/>
                <w:color w:val="auto"/>
              </w:rPr>
              <w:t>​​</w:t>
            </w:r>
          </w:p>
        </w:tc>
        <w:tc>
          <w:tcPr>
            <w:tcW w:w="280" w:type="dxa"/>
            <w:vAlign w:val="bottom"/>
            <w:vMerge w:val="restart"/>
          </w:tcPr>
          <w:p>
            <w:pPr>
              <w:ind w:left="240"/>
              <w:spacing w:after="0" w:line="81" w:lineRule="exact"/>
              <w:rPr>
                <w:sz w:val="20"/>
                <w:szCs w:val="20"/>
                <w:color w:val="auto"/>
              </w:rPr>
            </w:pPr>
            <w:r>
              <w:rPr>
                <w:rFonts w:ascii="Arial" w:cs="Arial" w:eastAsia="Arial" w:hAnsi="Arial"/>
                <w:sz w:val="9"/>
                <w:szCs w:val="9"/>
                <w:color w:val="auto"/>
              </w:rPr>
              <w:t>​</w:t>
            </w:r>
          </w:p>
        </w:tc>
        <w:tc>
          <w:tcPr>
            <w:tcW w:w="16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100" w:type="dxa"/>
            <w:vAlign w:val="bottom"/>
            <w:gridSpan w:val="2"/>
            <w:vMerge w:val="restart"/>
          </w:tcPr>
          <w:p>
            <w:pPr>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460" w:type="dxa"/>
            <w:vAlign w:val="bottom"/>
            <w:vMerge w:val="continue"/>
          </w:tcPr>
          <w:p>
            <w:pPr>
              <w:spacing w:after="0"/>
              <w:rPr>
                <w:sz w:val="4"/>
                <w:szCs w:val="4"/>
                <w:color w:val="auto"/>
              </w:rPr>
            </w:pPr>
          </w:p>
        </w:tc>
        <w:tc>
          <w:tcPr>
            <w:tcW w:w="200" w:type="dxa"/>
            <w:vAlign w:val="bottom"/>
            <w:gridSpan w:val="2"/>
          </w:tcPr>
          <w:p>
            <w:pPr>
              <w:jc w:val="center"/>
              <w:ind w:right="24"/>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18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76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26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300" w:type="dxa"/>
            <w:vAlign w:val="bottom"/>
          </w:tcPr>
          <w:p>
            <w:pPr>
              <w:ind w:left="200"/>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00" w:type="dxa"/>
            <w:vAlign w:val="bottom"/>
            <w:gridSpan w:val="2"/>
          </w:tcPr>
          <w:p>
            <w:pPr>
              <w:jc w:val="center"/>
              <w:spacing w:after="0" w:line="54" w:lineRule="exact"/>
              <w:rPr>
                <w:sz w:val="20"/>
                <w:szCs w:val="20"/>
                <w:color w:val="auto"/>
              </w:rPr>
            </w:pPr>
            <w:r>
              <w:rPr>
                <w:rFonts w:ascii="Arial" w:cs="Arial" w:eastAsia="Arial" w:hAnsi="Arial"/>
                <w:sz w:val="6"/>
                <w:szCs w:val="6"/>
                <w:color w:val="auto"/>
              </w:rPr>
              <w:t>​​ ​</w:t>
            </w:r>
          </w:p>
        </w:tc>
        <w:tc>
          <w:tcPr>
            <w:tcW w:w="3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8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0" w:type="dxa"/>
            <w:vAlign w:val="bottom"/>
            <w:shd w:val="clear" w:color="auto" w:fill="E5E5E5"/>
          </w:tcPr>
          <w:p>
            <w:pPr>
              <w:ind w:left="20"/>
              <w:spacing w:after="0"/>
              <w:rPr>
                <w:sz w:val="20"/>
                <w:szCs w:val="20"/>
                <w:color w:val="auto"/>
              </w:rPr>
            </w:pPr>
            <w:r>
              <w:rPr>
                <w:rFonts w:ascii="Arial" w:cs="Arial" w:eastAsia="Arial" w:hAnsi="Arial"/>
                <w:sz w:val="14"/>
                <w:szCs w:val="14"/>
                <w:color w:val="auto"/>
              </w:rPr>
              <w:t>2021</w:t>
            </w: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$ 12,341,685</w:t>
            </w:r>
          </w:p>
        </w:tc>
        <w:tc>
          <w:tcPr>
            <w:tcW w:w="18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$ 25,616,911</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61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2,408,210</w:t>
            </w:r>
          </w:p>
        </w:tc>
        <w:tc>
          <w:tcPr>
            <w:tcW w:w="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$ 2,962,970</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179</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177</w:t>
            </w:r>
          </w:p>
        </w:tc>
        <w:tc>
          <w:tcPr>
            <w:tcW w:w="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E5E5E5"/>
          </w:tcPr>
          <w:p>
            <w:pPr>
              <w:ind w:left="2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$135</w:t>
            </w:r>
          </w:p>
        </w:tc>
        <w:tc>
          <w:tcPr>
            <w:tcW w:w="14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ind w:left="20"/>
              <w:spacing w:after="0"/>
              <w:rPr>
                <w:sz w:val="20"/>
                <w:szCs w:val="20"/>
                <w:color w:val="auto"/>
              </w:rPr>
            </w:pPr>
            <w:r>
              <w:rPr>
                <w:rFonts w:ascii="Arial" w:cs="Arial" w:eastAsia="Arial" w:hAnsi="Arial"/>
                <w:sz w:val="14"/>
                <w:szCs w:val="14"/>
                <w:color w:val="auto"/>
                <w:w w:val="94"/>
              </w:rPr>
              <w:t>643</w:t>
            </w:r>
          </w:p>
        </w:tc>
        <w:tc>
          <w:tcPr>
            <w:tcW w:w="6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shd w:val="clear" w:color="auto" w:fill="E5E5E5"/>
          </w:tcPr>
          <w:p>
            <w:pPr>
              <w:ind w:left="20"/>
              <w:spacing w:after="0" w:line="54" w:lineRule="exact"/>
              <w:rPr>
                <w:sz w:val="20"/>
                <w:szCs w:val="20"/>
                <w:color w:val="auto"/>
              </w:rPr>
            </w:pPr>
            <w:r>
              <w:rPr>
                <w:rFonts w:ascii="Arial" w:cs="Arial" w:eastAsia="Arial" w:hAnsi="Arial"/>
                <w:sz w:val="6"/>
                <w:szCs w:val="6"/>
                <w:color w:val="auto"/>
              </w:rPr>
              <w:t>​</w:t>
            </w:r>
          </w:p>
        </w:tc>
        <w:tc>
          <w:tcPr>
            <w:tcW w:w="200" w:type="dxa"/>
            <w:vAlign w:val="bottom"/>
            <w:tcBorders>
              <w:bottom w:val="single" w:sz="8" w:color="auto"/>
            </w:tcBorders>
            <w:gridSpan w:val="2"/>
            <w:shd w:val="clear" w:color="auto" w:fill="E5E5E5"/>
          </w:tcPr>
          <w:p>
            <w:pPr>
              <w:jc w:val="center"/>
              <w:ind w:right="24"/>
              <w:spacing w:after="0" w:line="54" w:lineRule="exact"/>
              <w:rPr>
                <w:sz w:val="20"/>
                <w:szCs w:val="20"/>
                <w:color w:val="auto"/>
              </w:rPr>
            </w:pPr>
            <w:r>
              <w:rPr>
                <w:rFonts w:ascii="Arial" w:cs="Arial" w:eastAsia="Arial" w:hAnsi="Arial"/>
                <w:sz w:val="6"/>
                <w:szCs w:val="6"/>
                <w:color w:val="auto"/>
              </w:rPr>
              <w:t>​​</w:t>
            </w:r>
          </w:p>
        </w:tc>
        <w:tc>
          <w:tcPr>
            <w:tcW w:w="700" w:type="dxa"/>
            <w:vAlign w:val="bottom"/>
            <w:tcBorders>
              <w:bottom w:val="single" w:sz="8" w:color="auto"/>
            </w:tcBorders>
            <w:shd w:val="clear" w:color="auto" w:fill="E5E5E5"/>
          </w:tcPr>
          <w:p>
            <w:pPr>
              <w:spacing w:after="0"/>
              <w:rPr>
                <w:sz w:val="4"/>
                <w:szCs w:val="4"/>
                <w:color w:val="auto"/>
              </w:rPr>
            </w:pPr>
          </w:p>
        </w:tc>
        <w:tc>
          <w:tcPr>
            <w:tcW w:w="180" w:type="dxa"/>
            <w:vAlign w:val="bottom"/>
            <w:tcBorders>
              <w:bottom w:val="single" w:sz="8" w:color="auto"/>
            </w:tcBorders>
            <w:vMerge w:val="continue"/>
            <w:shd w:val="clear" w:color="auto" w:fill="E5E5E5"/>
          </w:tcPr>
          <w:p>
            <w:pPr>
              <w:spacing w:after="0"/>
              <w:rPr>
                <w:sz w:val="4"/>
                <w:szCs w:val="4"/>
                <w:color w:val="auto"/>
              </w:rPr>
            </w:pPr>
          </w:p>
        </w:tc>
        <w:tc>
          <w:tcPr>
            <w:tcW w:w="200" w:type="dxa"/>
            <w:vAlign w:val="bottom"/>
            <w:tcBorders>
              <w:bottom w:val="single" w:sz="8" w:color="auto"/>
            </w:tcBorders>
            <w:shd w:val="clear" w:color="auto" w:fill="E5E5E5"/>
          </w:tcPr>
          <w:p>
            <w:pPr>
              <w:spacing w:after="0"/>
              <w:rPr>
                <w:sz w:val="4"/>
                <w:szCs w:val="4"/>
                <w:color w:val="auto"/>
              </w:rPr>
            </w:pPr>
          </w:p>
        </w:tc>
        <w:tc>
          <w:tcPr>
            <w:tcW w:w="600" w:type="dxa"/>
            <w:vAlign w:val="bottom"/>
            <w:tcBorders>
              <w:bottom w:val="single" w:sz="8" w:color="auto"/>
            </w:tcBorders>
            <w:shd w:val="clear" w:color="auto" w:fill="E5E5E5"/>
          </w:tcPr>
          <w:p>
            <w:pPr>
              <w:spacing w:after="0"/>
              <w:rPr>
                <w:sz w:val="4"/>
                <w:szCs w:val="4"/>
                <w:color w:val="auto"/>
              </w:rPr>
            </w:pPr>
          </w:p>
        </w:tc>
        <w:tc>
          <w:tcPr>
            <w:tcW w:w="180" w:type="dxa"/>
            <w:vAlign w:val="bottom"/>
            <w:tcBorders>
              <w:bottom w:val="single" w:sz="8" w:color="auto"/>
            </w:tcBorders>
            <w:shd w:val="clear" w:color="auto" w:fill="E5E5E5"/>
          </w:tcPr>
          <w:p>
            <w:pPr>
              <w:ind w:left="20"/>
              <w:spacing w:after="0" w:line="54" w:lineRule="exact"/>
              <w:rPr>
                <w:sz w:val="20"/>
                <w:szCs w:val="20"/>
                <w:color w:val="auto"/>
              </w:rPr>
            </w:pPr>
            <w:r>
              <w:rPr>
                <w:rFonts w:ascii="Arial" w:cs="Arial" w:eastAsia="Arial" w:hAnsi="Arial"/>
                <w:sz w:val="6"/>
                <w:szCs w:val="6"/>
                <w:color w:val="auto"/>
              </w:rPr>
              <w:t>​</w:t>
            </w:r>
          </w:p>
        </w:tc>
        <w:tc>
          <w:tcPr>
            <w:tcW w:w="700" w:type="dxa"/>
            <w:vAlign w:val="bottom"/>
            <w:tcBorders>
              <w:bottom w:val="single" w:sz="8" w:color="auto"/>
            </w:tcBorders>
            <w:shd w:val="clear" w:color="auto" w:fill="E5E5E5"/>
          </w:tcPr>
          <w:p>
            <w:pPr>
              <w:spacing w:after="0"/>
              <w:rPr>
                <w:sz w:val="4"/>
                <w:szCs w:val="4"/>
                <w:color w:val="auto"/>
              </w:rPr>
            </w:pPr>
          </w:p>
        </w:tc>
        <w:tc>
          <w:tcPr>
            <w:tcW w:w="180" w:type="dxa"/>
            <w:vAlign w:val="bottom"/>
            <w:tcBorders>
              <w:bottom w:val="single" w:sz="8" w:color="auto"/>
            </w:tcBorders>
            <w:vMerge w:val="continue"/>
            <w:shd w:val="clear" w:color="auto" w:fill="E5E5E5"/>
          </w:tcPr>
          <w:p>
            <w:pPr>
              <w:spacing w:after="0"/>
              <w:rPr>
                <w:sz w:val="4"/>
                <w:szCs w:val="4"/>
                <w:color w:val="auto"/>
              </w:rPr>
            </w:pPr>
          </w:p>
        </w:tc>
        <w:tc>
          <w:tcPr>
            <w:tcW w:w="760" w:type="dxa"/>
            <w:vAlign w:val="bottom"/>
            <w:tcBorders>
              <w:bottom w:val="single" w:sz="8" w:color="auto"/>
            </w:tcBorders>
            <w:shd w:val="clear" w:color="auto" w:fill="E5E5E5"/>
          </w:tcPr>
          <w:p>
            <w:pPr>
              <w:spacing w:after="0"/>
              <w:rPr>
                <w:sz w:val="4"/>
                <w:szCs w:val="4"/>
                <w:color w:val="auto"/>
              </w:rPr>
            </w:pPr>
          </w:p>
        </w:tc>
        <w:tc>
          <w:tcPr>
            <w:tcW w:w="180" w:type="dxa"/>
            <w:vAlign w:val="bottom"/>
            <w:tcBorders>
              <w:bottom w:val="single" w:sz="8" w:color="auto"/>
            </w:tcBorders>
            <w:gridSpan w:val="3"/>
            <w:shd w:val="clear" w:color="auto" w:fill="E5E5E5"/>
          </w:tcPr>
          <w:p>
            <w:pPr>
              <w:spacing w:after="0" w:line="54"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auto"/>
            </w:tcBorders>
            <w:shd w:val="clear" w:color="auto" w:fill="E5E5E5"/>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auto"/>
            </w:tcBorders>
            <w:shd w:val="clear" w:color="auto" w:fill="E5E5E5"/>
          </w:tcPr>
          <w:p>
            <w:pPr>
              <w:spacing w:after="0"/>
              <w:rPr>
                <w:sz w:val="4"/>
                <w:szCs w:val="4"/>
                <w:color w:val="auto"/>
              </w:rPr>
            </w:pPr>
          </w:p>
        </w:tc>
        <w:tc>
          <w:tcPr>
            <w:tcW w:w="120" w:type="dxa"/>
            <w:vAlign w:val="bottom"/>
            <w:tcBorders>
              <w:bottom w:val="single" w:sz="8" w:color="auto"/>
            </w:tcBorders>
            <w:vMerge w:val="continue"/>
            <w:shd w:val="clear" w:color="auto" w:fill="E5E5E5"/>
          </w:tcPr>
          <w:p>
            <w:pPr>
              <w:spacing w:after="0"/>
              <w:rPr>
                <w:sz w:val="4"/>
                <w:szCs w:val="4"/>
                <w:color w:val="auto"/>
              </w:rPr>
            </w:pPr>
          </w:p>
        </w:tc>
        <w:tc>
          <w:tcPr>
            <w:tcW w:w="300" w:type="dxa"/>
            <w:vAlign w:val="bottom"/>
            <w:tcBorders>
              <w:bottom w:val="single" w:sz="8" w:color="auto"/>
            </w:tcBorders>
            <w:shd w:val="clear" w:color="auto" w:fill="E5E5E5"/>
          </w:tcPr>
          <w:p>
            <w:pPr>
              <w:ind w:left="200"/>
              <w:spacing w:after="0" w:line="54" w:lineRule="exact"/>
              <w:rPr>
                <w:sz w:val="20"/>
                <w:szCs w:val="20"/>
                <w:color w:val="auto"/>
              </w:rPr>
            </w:pPr>
            <w:r>
              <w:rPr>
                <w:rFonts w:ascii="Arial" w:cs="Arial" w:eastAsia="Arial" w:hAnsi="Arial"/>
                <w:sz w:val="6"/>
                <w:szCs w:val="6"/>
                <w:color w:val="auto"/>
              </w:rPr>
              <w:t>​</w:t>
            </w:r>
          </w:p>
        </w:tc>
        <w:tc>
          <w:tcPr>
            <w:tcW w:w="700" w:type="dxa"/>
            <w:vAlign w:val="bottom"/>
            <w:tcBorders>
              <w:bottom w:val="single" w:sz="8" w:color="auto"/>
            </w:tcBorders>
            <w:shd w:val="clear" w:color="auto" w:fill="E5E5E5"/>
          </w:tcPr>
          <w:p>
            <w:pPr>
              <w:spacing w:after="0"/>
              <w:rPr>
                <w:sz w:val="4"/>
                <w:szCs w:val="4"/>
                <w:color w:val="auto"/>
              </w:rPr>
            </w:pPr>
          </w:p>
        </w:tc>
        <w:tc>
          <w:tcPr>
            <w:tcW w:w="200" w:type="dxa"/>
            <w:vAlign w:val="bottom"/>
            <w:tcBorders>
              <w:bottom w:val="single" w:sz="8" w:color="auto"/>
            </w:tcBorders>
            <w:gridSpan w:val="2"/>
            <w:shd w:val="clear" w:color="auto" w:fill="E5E5E5"/>
          </w:tcPr>
          <w:p>
            <w:pPr>
              <w:jc w:val="center"/>
              <w:spacing w:after="0" w:line="54" w:lineRule="exact"/>
              <w:rPr>
                <w:sz w:val="20"/>
                <w:szCs w:val="20"/>
                <w:color w:val="auto"/>
              </w:rPr>
            </w:pPr>
            <w:r>
              <w:rPr>
                <w:rFonts w:ascii="Arial" w:cs="Arial" w:eastAsia="Arial" w:hAnsi="Arial"/>
                <w:sz w:val="6"/>
                <w:szCs w:val="6"/>
                <w:color w:val="auto"/>
              </w:rPr>
              <w:t>​​ ​</w:t>
            </w:r>
          </w:p>
        </w:tc>
        <w:tc>
          <w:tcPr>
            <w:tcW w:w="320" w:type="dxa"/>
            <w:vAlign w:val="bottom"/>
            <w:tcBorders>
              <w:bottom w:val="single" w:sz="8" w:color="auto"/>
            </w:tcBorders>
            <w:shd w:val="clear" w:color="auto" w:fill="E5E5E5"/>
          </w:tcPr>
          <w:p>
            <w:pPr>
              <w:spacing w:after="0"/>
              <w:rPr>
                <w:sz w:val="4"/>
                <w:szCs w:val="4"/>
                <w:color w:val="auto"/>
              </w:rPr>
            </w:pPr>
          </w:p>
        </w:tc>
        <w:tc>
          <w:tcPr>
            <w:tcW w:w="160" w:type="dxa"/>
            <w:vAlign w:val="bottom"/>
            <w:tcBorders>
              <w:bottom w:val="single" w:sz="8" w:color="auto"/>
            </w:tcBorders>
            <w:vMerge w:val="continue"/>
            <w:shd w:val="clear" w:color="auto" w:fill="E5E5E5"/>
          </w:tcPr>
          <w:p>
            <w:pPr>
              <w:spacing w:after="0"/>
              <w:rPr>
                <w:sz w:val="4"/>
                <w:szCs w:val="4"/>
                <w:color w:val="auto"/>
              </w:rPr>
            </w:pPr>
          </w:p>
        </w:tc>
        <w:tc>
          <w:tcPr>
            <w:tcW w:w="180" w:type="dxa"/>
            <w:vAlign w:val="bottom"/>
            <w:tcBorders>
              <w:bottom w:val="single" w:sz="8" w:color="auto"/>
            </w:tcBorders>
            <w:shd w:val="clear" w:color="auto" w:fill="E5E5E5"/>
          </w:tcPr>
          <w:p>
            <w:pPr>
              <w:ind w:left="60"/>
              <w:spacing w:after="0" w:line="54" w:lineRule="exact"/>
              <w:rPr>
                <w:sz w:val="20"/>
                <w:szCs w:val="20"/>
                <w:color w:val="auto"/>
              </w:rPr>
            </w:pPr>
            <w:r>
              <w:rPr>
                <w:rFonts w:ascii="Arial" w:cs="Arial" w:eastAsia="Arial" w:hAnsi="Arial"/>
                <w:sz w:val="6"/>
                <w:szCs w:val="6"/>
                <w:color w:val="auto"/>
              </w:rPr>
              <w:t>​</w:t>
            </w:r>
          </w:p>
        </w:tc>
        <w:tc>
          <w:tcPr>
            <w:tcW w:w="280" w:type="dxa"/>
            <w:vAlign w:val="bottom"/>
            <w:tcBorders>
              <w:bottom w:val="single" w:sz="8" w:color="auto"/>
            </w:tcBorders>
            <w:shd w:val="clear" w:color="auto" w:fill="E5E5E5"/>
          </w:tcPr>
          <w:p>
            <w:pPr>
              <w:spacing w:after="0"/>
              <w:rPr>
                <w:sz w:val="4"/>
                <w:szCs w:val="4"/>
                <w:color w:val="auto"/>
              </w:rPr>
            </w:pPr>
          </w:p>
        </w:tc>
        <w:tc>
          <w:tcPr>
            <w:tcW w:w="120" w:type="dxa"/>
            <w:vAlign w:val="bottom"/>
            <w:tcBorders>
              <w:bottom w:val="single" w:sz="8" w:color="auto"/>
            </w:tcBorders>
            <w:vMerge w:val="continue"/>
            <w:shd w:val="clear" w:color="auto" w:fill="E5E5E5"/>
          </w:tcPr>
          <w:p>
            <w:pPr>
              <w:spacing w:after="0"/>
              <w:rPr>
                <w:sz w:val="4"/>
                <w:szCs w:val="4"/>
                <w:color w:val="auto"/>
              </w:rPr>
            </w:pPr>
          </w:p>
        </w:tc>
        <w:tc>
          <w:tcPr>
            <w:tcW w:w="240" w:type="dxa"/>
            <w:vAlign w:val="bottom"/>
            <w:tcBorders>
              <w:bottom w:val="single" w:sz="8" w:color="auto"/>
            </w:tcBorders>
            <w:vMerge w:val="continue"/>
            <w:shd w:val="clear" w:color="auto" w:fill="E5E5E5"/>
          </w:tcPr>
          <w:p>
            <w:pPr>
              <w:spacing w:after="0"/>
              <w:rPr>
                <w:sz w:val="4"/>
                <w:szCs w:val="4"/>
                <w:color w:val="auto"/>
              </w:rPr>
            </w:pPr>
          </w:p>
        </w:tc>
        <w:tc>
          <w:tcPr>
            <w:tcW w:w="160" w:type="dxa"/>
            <w:vAlign w:val="bottom"/>
            <w:tcBorders>
              <w:bottom w:val="single" w:sz="8" w:color="auto"/>
            </w:tcBorders>
            <w:shd w:val="clear" w:color="auto" w:fill="E5E5E5"/>
          </w:tcPr>
          <w:p>
            <w:pPr>
              <w:spacing w:after="0"/>
              <w:rPr>
                <w:sz w:val="4"/>
                <w:szCs w:val="4"/>
                <w:color w:val="auto"/>
              </w:rPr>
            </w:pPr>
          </w:p>
        </w:tc>
        <w:tc>
          <w:tcPr>
            <w:tcW w:w="180" w:type="dxa"/>
            <w:vAlign w:val="bottom"/>
            <w:tcBorders>
              <w:bottom w:val="single" w:sz="8" w:color="auto"/>
            </w:tcBorders>
            <w:shd w:val="clear" w:color="auto" w:fill="E5E5E5"/>
          </w:tcPr>
          <w:p>
            <w:pPr>
              <w:spacing w:after="0"/>
              <w:rPr>
                <w:sz w:val="4"/>
                <w:szCs w:val="4"/>
                <w:color w:val="auto"/>
              </w:rPr>
            </w:pPr>
          </w:p>
        </w:tc>
        <w:tc>
          <w:tcPr>
            <w:tcW w:w="140" w:type="dxa"/>
            <w:vAlign w:val="bottom"/>
            <w:tcBorders>
              <w:bottom w:val="single" w:sz="8" w:color="auto"/>
            </w:tcBorders>
            <w:vMerge w:val="continue"/>
            <w:shd w:val="clear" w:color="auto" w:fill="E5E5E5"/>
          </w:tcPr>
          <w:p>
            <w:pPr>
              <w:spacing w:after="0"/>
              <w:rPr>
                <w:sz w:val="4"/>
                <w:szCs w:val="4"/>
                <w:color w:val="auto"/>
              </w:rPr>
            </w:pPr>
          </w:p>
        </w:tc>
        <w:tc>
          <w:tcPr>
            <w:tcW w:w="280" w:type="dxa"/>
            <w:vAlign w:val="bottom"/>
            <w:tcBorders>
              <w:bottom w:val="single" w:sz="8" w:color="auto"/>
            </w:tcBorders>
            <w:vMerge w:val="continue"/>
            <w:shd w:val="clear" w:color="auto" w:fill="E5E5E5"/>
          </w:tcPr>
          <w:p>
            <w:pPr>
              <w:spacing w:after="0"/>
              <w:rPr>
                <w:sz w:val="4"/>
                <w:szCs w:val="4"/>
                <w:color w:val="auto"/>
              </w:rPr>
            </w:pPr>
          </w:p>
        </w:tc>
        <w:tc>
          <w:tcPr>
            <w:tcW w:w="160" w:type="dxa"/>
            <w:vAlign w:val="bottom"/>
            <w:tcBorders>
              <w:bottom w:val="single" w:sz="8" w:color="auto"/>
            </w:tcBorders>
            <w:shd w:val="clear" w:color="auto" w:fill="E5E5E5"/>
          </w:tcPr>
          <w:p>
            <w:pPr>
              <w:spacing w:after="0"/>
              <w:rPr>
                <w:sz w:val="4"/>
                <w:szCs w:val="4"/>
                <w:color w:val="auto"/>
              </w:rPr>
            </w:pPr>
          </w:p>
        </w:tc>
        <w:tc>
          <w:tcPr>
            <w:tcW w:w="260" w:type="dxa"/>
            <w:vAlign w:val="bottom"/>
            <w:tcBorders>
              <w:bottom w:val="single" w:sz="8" w:color="auto"/>
            </w:tcBorders>
            <w:shd w:val="clear" w:color="auto" w:fill="E5E5E5"/>
          </w:tcPr>
          <w:p>
            <w:pPr>
              <w:spacing w:after="0"/>
              <w:rPr>
                <w:sz w:val="4"/>
                <w:szCs w:val="4"/>
                <w:color w:val="auto"/>
              </w:rPr>
            </w:pPr>
          </w:p>
        </w:tc>
        <w:tc>
          <w:tcPr>
            <w:tcW w:w="60" w:type="dxa"/>
            <w:vAlign w:val="bottom"/>
            <w:tcBorders>
              <w:bottom w:val="single" w:sz="8" w:color="auto"/>
            </w:tcBorders>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1120" w:right="40" w:hanging="358"/>
        <w:spacing w:after="0" w:line="268" w:lineRule="auto"/>
        <w:tabs>
          <w:tab w:leader="none" w:pos="1120"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Compensation actually paid is the total Summary Compensation Table compensation, adjusted as set forth in the table below in accordance with Item 402(v) of Regulation S-K. The dollar amounts do not reflect the actual amount of compensation earned by or paid to Mr. Fadel during the applicable year.</w:t>
      </w:r>
    </w:p>
    <w:p>
      <w:pPr>
        <w:jc w:val="both"/>
        <w:ind w:left="1120" w:right="40" w:hanging="358"/>
        <w:spacing w:after="0" w:line="273" w:lineRule="auto"/>
        <w:tabs>
          <w:tab w:leader="none" w:pos="1120"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average total compensation for Messrs. Khouri, Blasquez, Montrone and Pechersky in 2025; for Messrs. Karam, Blasquez, Montrone and Gautam (former Executive Vice President — Chief Technology and Digital Officer) in 2024; for Messrs. Karam, Blasquez, Montrone and Gautam in 2023; for Messrs. Allred (former Executive Vice President — Acima), Hogg (former Executive Vice President —  Acima), Karam, Pechersky and Taylor and Ms. Short (former Executive Vice President  — Chief Financial Officer) in 2022; and for Messrs. Blasquez, Hogg and Pechersky and Ms. Short in 2021. Total compensation for non-CEO named executive officers are as reported in the Summary Compensation Tables.</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71" w:lineRule="exact"/>
        <w:rPr>
          <w:sz w:val="20"/>
          <w:szCs w:val="20"/>
          <w:color w:val="auto"/>
        </w:rPr>
      </w:pPr>
    </w:p>
    <w:p>
      <w:pPr>
        <w:jc w:val="both"/>
        <w:ind w:left="1120" w:right="60" w:hanging="358"/>
        <w:spacing w:after="0" w:line="268" w:lineRule="auto"/>
        <w:tabs>
          <w:tab w:leader="none" w:pos="11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The table below presents a reconciliation of the average Summary Compensation Table total to the average compensation actually paid, as defined by SEC rules, to the non-CEO named executive officers: The dollar amounts do not reflect the actual average amount of compensation earned by or paid to the NEOs as a group during the applicable year.</w:t>
      </w:r>
    </w:p>
    <w:p>
      <w:pPr>
        <w:jc w:val="both"/>
        <w:ind w:left="1120" w:right="40" w:hanging="358"/>
        <w:spacing w:after="0" w:line="268" w:lineRule="auto"/>
        <w:tabs>
          <w:tab w:leader="none" w:pos="11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The peer group selected is the S&amp;P 1500 Specialty Retail Index. We use this published industry index as the comparator group to measure our relative total shareholder return for purposes of determining vesting of performance stock units granted under our long-term incentive compensation program.</w:t>
      </w:r>
    </w:p>
    <w:p>
      <w:pPr>
        <w:ind w:left="1120" w:right="40" w:hanging="358"/>
        <w:spacing w:after="0" w:line="270" w:lineRule="auto"/>
        <w:tabs>
          <w:tab w:leader="none" w:pos="11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Non-GAAP financial measure. See </w:t>
      </w:r>
      <w:r>
        <w:rPr>
          <w:rFonts w:ascii="Arial" w:cs="Arial" w:eastAsia="Arial" w:hAnsi="Arial"/>
          <w:sz w:val="14"/>
          <w:szCs w:val="14"/>
          <w:i w:val="1"/>
          <w:iCs w:val="1"/>
          <w:u w:val="single" w:color="auto"/>
          <w:color w:val="auto"/>
        </w:rPr>
        <w:t>Annex A</w:t>
      </w:r>
      <w:r>
        <w:rPr>
          <w:rFonts w:ascii="Arial" w:cs="Arial" w:eastAsia="Arial" w:hAnsi="Arial"/>
          <w:sz w:val="14"/>
          <w:szCs w:val="14"/>
          <w:i w:val="1"/>
          <w:iCs w:val="1"/>
          <w:color w:val="auto"/>
        </w:rPr>
        <w:t xml:space="preserve"> for additional information regarding non-GAAP financial measures and reconciliations of non-GAAP financial measures to their most directly comparable GAAP financial measure.</w:t>
      </w:r>
    </w:p>
    <w:p>
      <w:pPr>
        <w:ind w:left="1120" w:right="60" w:hanging="358"/>
        <w:spacing w:after="0" w:line="304" w:lineRule="auto"/>
        <w:tabs>
          <w:tab w:leader="none" w:pos="11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None of our named executive officers in the 2022 annual cash incentive program received any bonus plan payout with respect to the 2022 performance year based on the Company’s annual financial performance in 2022.</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Reconciliation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128905</wp:posOffset>
            </wp:positionV>
            <wp:extent cx="8255" cy="4105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4105910"/>
                    </a:xfrm>
                    <a:prstGeom prst="rect">
                      <a:avLst/>
                    </a:prstGeom>
                    <a:noFill/>
                  </pic:spPr>
                </pic:pic>
              </a:graphicData>
            </a:graphic>
          </wp:anchor>
        </w:drawing>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283"/>
        </w:trPr>
        <w:tc>
          <w:tcPr>
            <w:tcW w:w="3220" w:type="dxa"/>
            <w:vAlign w:val="bottom"/>
            <w:gridSpan w:val="2"/>
          </w:tcPr>
          <w:p>
            <w:pPr>
              <w:ind w:left="6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ind w:left="2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4"/>
                <w:szCs w:val="24"/>
                <w:color w:val="auto"/>
              </w:rPr>
            </w:pPr>
          </w:p>
        </w:tc>
        <w:tc>
          <w:tcPr>
            <w:tcW w:w="700" w:type="dxa"/>
            <w:vAlign w:val="bottom"/>
          </w:tcPr>
          <w:p>
            <w:pPr>
              <w:jc w:val="right"/>
              <w:ind w:right="124"/>
              <w:spacing w:after="0"/>
              <w:rPr>
                <w:sz w:val="20"/>
                <w:szCs w:val="20"/>
                <w:color w:val="auto"/>
              </w:rPr>
            </w:pPr>
            <w:r>
              <w:rPr>
                <w:rFonts w:ascii="Arial" w:cs="Arial" w:eastAsia="Arial" w:hAnsi="Arial"/>
                <w:sz w:val="15"/>
                <w:szCs w:val="15"/>
                <w:b w:val="1"/>
                <w:bCs w:val="1"/>
                <w:color w:val="auto"/>
              </w:rPr>
              <w:t>Karam</w:t>
            </w:r>
          </w:p>
        </w:tc>
        <w:tc>
          <w:tcPr>
            <w:tcW w:w="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auto"/>
              </w:rPr>
              <w:t>Fadel</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5"/>
                <w:szCs w:val="15"/>
                <w:b w:val="1"/>
                <w:bCs w:val="1"/>
                <w:color w:val="auto"/>
              </w:rPr>
              <w:t>CEO</w:t>
            </w:r>
          </w:p>
        </w:tc>
        <w:tc>
          <w:tcPr>
            <w:tcW w:w="40" w:type="dxa"/>
            <w:vAlign w:val="bottom"/>
          </w:tcPr>
          <w:p>
            <w:pPr>
              <w:spacing w:after="0"/>
              <w:rPr>
                <w:sz w:val="18"/>
                <w:szCs w:val="18"/>
                <w:color w:val="auto"/>
              </w:rPr>
            </w:pPr>
          </w:p>
        </w:tc>
        <w:tc>
          <w:tcPr>
            <w:tcW w:w="14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 ​</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2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2021</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220" w:type="dxa"/>
            <w:vAlign w:val="bottom"/>
            <w:gridSpan w:val="2"/>
            <w:shd w:val="clear" w:color="auto" w:fill="E5E5E5"/>
          </w:tcPr>
          <w:p>
            <w:pPr>
              <w:ind w:left="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Summary Compensation Table Total</w:t>
            </w:r>
          </w:p>
        </w:tc>
        <w:tc>
          <w:tcPr>
            <w:tcW w:w="1000" w:type="dxa"/>
            <w:vAlign w:val="bottom"/>
            <w:gridSpan w:val="5"/>
            <w:shd w:val="clear" w:color="auto" w:fill="E5E5E5"/>
          </w:tcPr>
          <w:p>
            <w:pPr>
              <w:ind w:left="20"/>
              <w:spacing w:after="0"/>
              <w:rPr>
                <w:sz w:val="20"/>
                <w:szCs w:val="20"/>
                <w:color w:val="auto"/>
              </w:rPr>
            </w:pPr>
            <w:r>
              <w:rPr>
                <w:rFonts w:ascii="Arial" w:cs="Arial" w:eastAsia="Arial" w:hAnsi="Arial"/>
                <w:sz w:val="15"/>
                <w:szCs w:val="15"/>
                <w:color w:val="auto"/>
              </w:rPr>
              <w:t>​​​$  7,363,260​​</w:t>
            </w:r>
          </w:p>
        </w:tc>
        <w:tc>
          <w:tcPr>
            <w:tcW w:w="1120" w:type="dxa"/>
            <w:vAlign w:val="bottom"/>
            <w:gridSpan w:val="4"/>
            <w:shd w:val="clear" w:color="auto" w:fill="E5E5E5"/>
          </w:tcPr>
          <w:p>
            <w:pPr>
              <w:jc w:val="right"/>
              <w:spacing w:after="0"/>
              <w:rPr>
                <w:sz w:val="20"/>
                <w:szCs w:val="20"/>
                <w:color w:val="auto"/>
              </w:rPr>
            </w:pPr>
            <w:r>
              <w:rPr>
                <w:rFonts w:ascii="Arial" w:cs="Arial" w:eastAsia="Arial" w:hAnsi="Arial"/>
                <w:sz w:val="15"/>
                <w:szCs w:val="15"/>
                <w:color w:val="auto"/>
              </w:rPr>
              <w:t>​​$  6,978,541​​​$</w:t>
            </w:r>
          </w:p>
        </w:tc>
        <w:tc>
          <w:tcPr>
            <w:tcW w:w="1920" w:type="dxa"/>
            <w:vAlign w:val="bottom"/>
            <w:gridSpan w:val="5"/>
            <w:shd w:val="clear" w:color="auto" w:fill="E5E5E5"/>
          </w:tcPr>
          <w:p>
            <w:pPr>
              <w:jc w:val="right"/>
              <w:spacing w:after="0"/>
              <w:rPr>
                <w:sz w:val="20"/>
                <w:szCs w:val="20"/>
                <w:color w:val="auto"/>
              </w:rPr>
            </w:pPr>
            <w:r>
              <w:rPr>
                <w:rFonts w:ascii="Arial" w:cs="Arial" w:eastAsia="Arial" w:hAnsi="Arial"/>
                <w:sz w:val="15"/>
                <w:szCs w:val="15"/>
                <w:color w:val="auto"/>
              </w:rPr>
              <w:t>  9,508,913​​​​$  9,791,051​​​​$</w:t>
            </w:r>
          </w:p>
        </w:tc>
        <w:tc>
          <w:tcPr>
            <w:tcW w:w="40" w:type="dxa"/>
            <w:vAlign w:val="bottom"/>
            <w:shd w:val="clear" w:color="auto" w:fill="E5E5E5"/>
          </w:tcPr>
          <w:p>
            <w:pPr>
              <w:spacing w:after="0"/>
              <w:rPr>
                <w:sz w:val="22"/>
                <w:szCs w:val="22"/>
                <w:color w:val="auto"/>
              </w:rPr>
            </w:pPr>
          </w:p>
        </w:tc>
        <w:tc>
          <w:tcPr>
            <w:tcW w:w="1900" w:type="dxa"/>
            <w:vAlign w:val="bottom"/>
            <w:gridSpan w:val="4"/>
            <w:shd w:val="clear" w:color="auto" w:fill="E5E5E5"/>
          </w:tcPr>
          <w:p>
            <w:pPr>
              <w:jc w:val="right"/>
              <w:spacing w:after="0"/>
              <w:rPr>
                <w:sz w:val="20"/>
                <w:szCs w:val="20"/>
                <w:color w:val="auto"/>
              </w:rPr>
            </w:pPr>
            <w:r>
              <w:rPr>
                <w:rFonts w:ascii="Arial" w:cs="Arial" w:eastAsia="Arial" w:hAnsi="Arial"/>
                <w:sz w:val="15"/>
                <w:szCs w:val="15"/>
                <w:color w:val="auto"/>
              </w:rPr>
              <w:t>  6,280,050​​​​$  12,341,685​​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60"/>
              <w:spacing w:after="0"/>
              <w:rPr>
                <w:sz w:val="20"/>
                <w:szCs w:val="20"/>
                <w:color w:val="auto"/>
              </w:rPr>
            </w:pPr>
            <w:r>
              <w:rPr>
                <w:rFonts w:ascii="Arial" w:cs="Arial" w:eastAsia="Arial" w:hAnsi="Arial"/>
                <w:sz w:val="15"/>
                <w:szCs w:val="15"/>
                <w:b w:val="1"/>
                <w:bCs w:val="1"/>
                <w:color w:val="auto"/>
              </w:rPr>
              <w:t>​Less:</w:t>
            </w:r>
          </w:p>
        </w:tc>
        <w:tc>
          <w:tcPr>
            <w:tcW w:w="180" w:type="dxa"/>
            <w:vAlign w:val="bottom"/>
            <w:gridSpan w:val="2"/>
          </w:tcPr>
          <w:p>
            <w:pPr>
              <w:ind w:left="2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 ​​</w:t>
            </w:r>
          </w:p>
        </w:tc>
        <w:tc>
          <w:tcPr>
            <w:tcW w:w="80" w:type="dxa"/>
            <w:vAlign w:val="bottom"/>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6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00" w:type="dxa"/>
            <w:vAlign w:val="bottom"/>
            <w:shd w:val="clear" w:color="auto" w:fill="E5E5E5"/>
          </w:tcPr>
          <w:p>
            <w:pPr>
              <w:spacing w:after="0"/>
              <w:rPr>
                <w:sz w:val="21"/>
                <w:szCs w:val="21"/>
                <w:color w:val="auto"/>
              </w:rPr>
            </w:pPr>
          </w:p>
        </w:tc>
        <w:tc>
          <w:tcPr>
            <w:tcW w:w="3120" w:type="dxa"/>
            <w:vAlign w:val="bottom"/>
            <w:shd w:val="clear" w:color="auto" w:fill="E5E5E5"/>
          </w:tcPr>
          <w:p>
            <w:pPr>
              <w:ind w:left="160"/>
              <w:spacing w:after="0"/>
              <w:rPr>
                <w:sz w:val="20"/>
                <w:szCs w:val="20"/>
                <w:color w:val="auto"/>
              </w:rPr>
            </w:pPr>
            <w:r>
              <w:rPr>
                <w:rFonts w:ascii="Arial" w:cs="Arial" w:eastAsia="Arial" w:hAnsi="Arial"/>
                <w:sz w:val="15"/>
                <w:szCs w:val="15"/>
                <w:color w:val="auto"/>
              </w:rPr>
              <w:t>Fair Value of Stock Awards Granted in the</w:t>
            </w:r>
          </w:p>
        </w:tc>
        <w:tc>
          <w:tcPr>
            <w:tcW w:w="4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3120" w:type="dxa"/>
            <w:vAlign w:val="bottom"/>
            <w:shd w:val="clear" w:color="auto" w:fill="E5E5E5"/>
          </w:tcPr>
          <w:p>
            <w:pPr>
              <w:ind w:left="320"/>
              <w:spacing w:after="0"/>
              <w:rPr>
                <w:sz w:val="20"/>
                <w:szCs w:val="20"/>
                <w:color w:val="auto"/>
              </w:rPr>
            </w:pPr>
            <w:r>
              <w:rPr>
                <w:rFonts w:ascii="Arial" w:cs="Arial" w:eastAsia="Arial" w:hAnsi="Arial"/>
                <w:sz w:val="15"/>
                <w:szCs w:val="15"/>
                <w:color w:val="auto"/>
              </w:rPr>
              <w:t>Covered Year (measured at grant date)</w:t>
            </w:r>
          </w:p>
        </w:tc>
        <w:tc>
          <w:tcPr>
            <w:tcW w:w="180" w:type="dxa"/>
            <w:vAlign w:val="bottom"/>
            <w:gridSpan w:val="2"/>
            <w:shd w:val="clear" w:color="auto" w:fill="E5E5E5"/>
          </w:tcPr>
          <w:p>
            <w:pPr>
              <w:ind w:left="20"/>
              <w:spacing w:after="0"/>
              <w:rPr>
                <w:sz w:val="20"/>
                <w:szCs w:val="20"/>
                <w:color w:val="auto"/>
              </w:rPr>
            </w:pPr>
            <w:r>
              <w:rPr>
                <w:rFonts w:ascii="Arial" w:cs="Arial" w:eastAsia="Arial" w:hAnsi="Arial"/>
                <w:sz w:val="15"/>
                <w:szCs w:val="15"/>
                <w:color w:val="auto"/>
              </w:rPr>
              <w:t>​​​$</w:t>
            </w:r>
          </w:p>
        </w:tc>
        <w:tc>
          <w:tcPr>
            <w:tcW w:w="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5,024,042​​</w:t>
            </w:r>
          </w:p>
        </w:tc>
        <w:tc>
          <w:tcPr>
            <w:tcW w:w="1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6,447,533​​​$</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6,672,932​​​​$</w:t>
            </w:r>
          </w:p>
        </w:tc>
        <w:tc>
          <w:tcPr>
            <w:tcW w:w="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6,502,656​​​​$</w:t>
            </w:r>
          </w:p>
        </w:tc>
        <w:tc>
          <w:tcPr>
            <w:tcW w:w="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5,116,846​​​​$</w:t>
            </w:r>
          </w:p>
        </w:tc>
        <w:tc>
          <w:tcPr>
            <w:tcW w:w="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9,296,543​​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Fair Value of Awards Granted in Prior Year</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120" w:type="dxa"/>
            <w:vAlign w:val="bottom"/>
          </w:tcPr>
          <w:p>
            <w:pPr>
              <w:ind w:left="320"/>
              <w:spacing w:after="0"/>
              <w:rPr>
                <w:sz w:val="20"/>
                <w:szCs w:val="20"/>
                <w:color w:val="auto"/>
              </w:rPr>
            </w:pPr>
            <w:r>
              <w:rPr>
                <w:rFonts w:ascii="Arial" w:cs="Arial" w:eastAsia="Arial" w:hAnsi="Arial"/>
                <w:sz w:val="15"/>
                <w:szCs w:val="15"/>
                <w:color w:val="auto"/>
              </w:rPr>
              <w:t>that were Forfeited during the Covered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 w:type="dxa"/>
            <w:vAlign w:val="bottom"/>
          </w:tcPr>
          <w:p>
            <w:pPr>
              <w:ind w:left="60"/>
              <w:spacing w:after="0"/>
              <w:rPr>
                <w:sz w:val="20"/>
                <w:szCs w:val="20"/>
                <w:color w:val="auto"/>
              </w:rPr>
            </w:pPr>
            <w:r>
              <w:rPr>
                <w:rFonts w:ascii="Arial" w:cs="Arial" w:eastAsia="Arial" w:hAnsi="Arial"/>
                <w:sz w:val="15"/>
                <w:szCs w:val="15"/>
                <w:color w:val="auto"/>
              </w:rPr>
              <w:t>​</w:t>
            </w:r>
          </w:p>
        </w:tc>
        <w:tc>
          <w:tcPr>
            <w:tcW w:w="3120" w:type="dxa"/>
            <w:vAlign w:val="bottom"/>
          </w:tcPr>
          <w:p>
            <w:pPr>
              <w:ind w:left="320"/>
              <w:spacing w:after="0"/>
              <w:rPr>
                <w:sz w:val="20"/>
                <w:szCs w:val="20"/>
                <w:color w:val="auto"/>
              </w:rPr>
            </w:pPr>
            <w:r>
              <w:rPr>
                <w:rFonts w:ascii="Arial" w:cs="Arial" w:eastAsia="Arial" w:hAnsi="Arial"/>
                <w:sz w:val="15"/>
                <w:szCs w:val="15"/>
                <w:color w:val="auto"/>
              </w:rPr>
              <w:t>Year (measured at prior year-end)</w:t>
            </w:r>
          </w:p>
        </w:tc>
        <w:tc>
          <w:tcPr>
            <w:tcW w:w="1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0​​ ​​$</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3120" w:type="dxa"/>
            <w:vAlign w:val="bottom"/>
            <w:shd w:val="clear" w:color="auto" w:fill="E5E5E5"/>
          </w:tcPr>
          <w:p>
            <w:pPr>
              <w:ind w:left="160"/>
              <w:spacing w:after="0"/>
              <w:rPr>
                <w:sz w:val="20"/>
                <w:szCs w:val="20"/>
                <w:color w:val="auto"/>
              </w:rPr>
            </w:pPr>
            <w:r>
              <w:rPr>
                <w:rFonts w:ascii="Arial" w:cs="Arial" w:eastAsia="Arial" w:hAnsi="Arial"/>
                <w:sz w:val="15"/>
                <w:szCs w:val="15"/>
                <w:color w:val="auto"/>
              </w:rPr>
              <w:t>Change in Pension Value</w:t>
            </w:r>
          </w:p>
        </w:tc>
        <w:tc>
          <w:tcPr>
            <w:tcW w:w="180" w:type="dxa"/>
            <w:vAlign w:val="bottom"/>
            <w:gridSpan w:val="2"/>
            <w:shd w:val="clear" w:color="auto" w:fill="E5E5E5"/>
          </w:tcPr>
          <w:p>
            <w:pPr>
              <w:ind w:left="20"/>
              <w:spacing w:after="0"/>
              <w:rPr>
                <w:sz w:val="20"/>
                <w:szCs w:val="20"/>
                <w:color w:val="auto"/>
              </w:rPr>
            </w:pPr>
            <w:r>
              <w:rPr>
                <w:rFonts w:ascii="Arial" w:cs="Arial" w:eastAsia="Arial" w:hAnsi="Arial"/>
                <w:sz w:val="15"/>
                <w:szCs w:val="15"/>
                <w:color w:val="auto"/>
              </w:rPr>
              <w:t>​​​$</w:t>
            </w:r>
          </w:p>
        </w:tc>
        <w:tc>
          <w:tcPr>
            <w:tcW w:w="60" w:type="dxa"/>
            <w:vAlign w:val="bottom"/>
            <w:shd w:val="clear" w:color="auto" w:fill="E5E5E5"/>
          </w:tcPr>
          <w:p>
            <w:pPr>
              <w:spacing w:after="0"/>
              <w:rPr>
                <w:sz w:val="23"/>
                <w:szCs w:val="23"/>
                <w:color w:val="auto"/>
              </w:rPr>
            </w:pP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E5E5E5"/>
          </w:tcPr>
          <w:p>
            <w:pPr>
              <w:spacing w:after="0"/>
              <w:rPr>
                <w:sz w:val="23"/>
                <w:szCs w:val="23"/>
                <w:color w:val="auto"/>
              </w:rPr>
            </w:pP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60" w:type="dxa"/>
            <w:vAlign w:val="bottom"/>
            <w:shd w:val="clear" w:color="auto" w:fill="E5E5E5"/>
          </w:tcPr>
          <w:p>
            <w:pPr>
              <w:spacing w:after="0"/>
              <w:rPr>
                <w:sz w:val="23"/>
                <w:szCs w:val="23"/>
                <w:color w:val="auto"/>
              </w:rPr>
            </w:pP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40" w:type="dxa"/>
            <w:vAlign w:val="bottom"/>
            <w:shd w:val="clear" w:color="auto" w:fill="E5E5E5"/>
          </w:tcPr>
          <w:p>
            <w:pPr>
              <w:spacing w:after="0"/>
              <w:rPr>
                <w:sz w:val="23"/>
                <w:szCs w:val="23"/>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60" w:type="dxa"/>
            <w:vAlign w:val="bottom"/>
            <w:shd w:val="clear" w:color="auto" w:fill="E5E5E5"/>
          </w:tcPr>
          <w:p>
            <w:pPr>
              <w:spacing w:after="0"/>
              <w:rPr>
                <w:sz w:val="23"/>
                <w:szCs w:val="23"/>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60"/>
              <w:spacing w:after="0"/>
              <w:rPr>
                <w:sz w:val="20"/>
                <w:szCs w:val="20"/>
                <w:color w:val="auto"/>
              </w:rPr>
            </w:pPr>
            <w:r>
              <w:rPr>
                <w:rFonts w:ascii="Arial" w:cs="Arial" w:eastAsia="Arial" w:hAnsi="Arial"/>
                <w:sz w:val="15"/>
                <w:szCs w:val="15"/>
                <w:b w:val="1"/>
                <w:bCs w:val="1"/>
                <w:color w:val="auto"/>
              </w:rPr>
              <w:t>​Plus:</w:t>
            </w:r>
          </w:p>
        </w:tc>
        <w:tc>
          <w:tcPr>
            <w:tcW w:w="180" w:type="dxa"/>
            <w:vAlign w:val="bottom"/>
            <w:gridSpan w:val="2"/>
          </w:tcPr>
          <w:p>
            <w:pPr>
              <w:ind w:left="2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 ​​</w:t>
            </w:r>
          </w:p>
        </w:tc>
        <w:tc>
          <w:tcPr>
            <w:tcW w:w="80" w:type="dxa"/>
            <w:vAlign w:val="bottom"/>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6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00" w:type="dxa"/>
            <w:vAlign w:val="bottom"/>
            <w:shd w:val="clear" w:color="auto" w:fill="E5E5E5"/>
          </w:tcPr>
          <w:p>
            <w:pPr>
              <w:spacing w:after="0"/>
              <w:rPr>
                <w:sz w:val="21"/>
                <w:szCs w:val="21"/>
                <w:color w:val="auto"/>
              </w:rPr>
            </w:pPr>
          </w:p>
        </w:tc>
        <w:tc>
          <w:tcPr>
            <w:tcW w:w="3120" w:type="dxa"/>
            <w:vAlign w:val="bottom"/>
            <w:shd w:val="clear" w:color="auto" w:fill="E5E5E5"/>
          </w:tcPr>
          <w:p>
            <w:pPr>
              <w:ind w:left="160"/>
              <w:spacing w:after="0"/>
              <w:rPr>
                <w:sz w:val="20"/>
                <w:szCs w:val="20"/>
                <w:color w:val="auto"/>
              </w:rPr>
            </w:pPr>
            <w:r>
              <w:rPr>
                <w:rFonts w:ascii="Arial" w:cs="Arial" w:eastAsia="Arial" w:hAnsi="Arial"/>
                <w:sz w:val="15"/>
                <w:szCs w:val="15"/>
                <w:color w:val="auto"/>
              </w:rPr>
              <w:t>Fair Value of Unvested Awards Granted in</w:t>
            </w:r>
          </w:p>
        </w:tc>
        <w:tc>
          <w:tcPr>
            <w:tcW w:w="4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E5E5E5"/>
          </w:tcPr>
          <w:p>
            <w:pPr>
              <w:spacing w:after="0"/>
              <w:rPr>
                <w:sz w:val="16"/>
                <w:szCs w:val="16"/>
                <w:color w:val="auto"/>
              </w:rPr>
            </w:pPr>
          </w:p>
        </w:tc>
        <w:tc>
          <w:tcPr>
            <w:tcW w:w="3120" w:type="dxa"/>
            <w:vAlign w:val="bottom"/>
            <w:shd w:val="clear" w:color="auto" w:fill="E5E5E5"/>
          </w:tcPr>
          <w:p>
            <w:pPr>
              <w:ind w:left="320"/>
              <w:spacing w:after="0"/>
              <w:rPr>
                <w:sz w:val="20"/>
                <w:szCs w:val="20"/>
                <w:color w:val="auto"/>
              </w:rPr>
            </w:pPr>
            <w:r>
              <w:rPr>
                <w:rFonts w:ascii="Arial" w:cs="Arial" w:eastAsia="Arial" w:hAnsi="Arial"/>
                <w:sz w:val="15"/>
                <w:szCs w:val="15"/>
                <w:color w:val="auto"/>
              </w:rPr>
              <w:t>the Covered Year (measured at year-</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3120" w:type="dxa"/>
            <w:vAlign w:val="bottom"/>
            <w:shd w:val="clear" w:color="auto" w:fill="E5E5E5"/>
          </w:tcPr>
          <w:p>
            <w:pPr>
              <w:ind w:left="320"/>
              <w:spacing w:after="0"/>
              <w:rPr>
                <w:sz w:val="20"/>
                <w:szCs w:val="20"/>
                <w:color w:val="auto"/>
              </w:rPr>
            </w:pPr>
            <w:r>
              <w:rPr>
                <w:rFonts w:ascii="Arial" w:cs="Arial" w:eastAsia="Arial" w:hAnsi="Arial"/>
                <w:sz w:val="15"/>
                <w:szCs w:val="15"/>
                <w:color w:val="auto"/>
              </w:rPr>
              <w:t>end)</w:t>
            </w:r>
          </w:p>
        </w:tc>
        <w:tc>
          <w:tcPr>
            <w:tcW w:w="180" w:type="dxa"/>
            <w:vAlign w:val="bottom"/>
            <w:gridSpan w:val="2"/>
            <w:shd w:val="clear" w:color="auto" w:fill="E5E5E5"/>
          </w:tcPr>
          <w:p>
            <w:pPr>
              <w:ind w:left="20"/>
              <w:spacing w:after="0"/>
              <w:rPr>
                <w:sz w:val="20"/>
                <w:szCs w:val="20"/>
                <w:color w:val="auto"/>
              </w:rPr>
            </w:pPr>
            <w:r>
              <w:rPr>
                <w:rFonts w:ascii="Arial" w:cs="Arial" w:eastAsia="Arial" w:hAnsi="Arial"/>
                <w:sz w:val="15"/>
                <w:szCs w:val="15"/>
                <w:color w:val="auto"/>
              </w:rPr>
              <w:t>​​​$</w:t>
            </w:r>
          </w:p>
        </w:tc>
        <w:tc>
          <w:tcPr>
            <w:tcW w:w="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2,092,922​​</w:t>
            </w:r>
          </w:p>
        </w:tc>
        <w:tc>
          <w:tcPr>
            <w:tcW w:w="1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2,685,920​​​$</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4,704,437​​​​$</w:t>
            </w:r>
          </w:p>
        </w:tc>
        <w:tc>
          <w:tcPr>
            <w:tcW w:w="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9,387,302​​​​$</w:t>
            </w:r>
          </w:p>
        </w:tc>
        <w:tc>
          <w:tcPr>
            <w:tcW w:w="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3,474,280​​​​$</w:t>
            </w:r>
          </w:p>
        </w:tc>
        <w:tc>
          <w:tcPr>
            <w:tcW w:w="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5,474,111​​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Fair Value of Vested Awards Granted in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120" w:type="dxa"/>
            <w:vAlign w:val="bottom"/>
          </w:tcPr>
          <w:p>
            <w:pPr>
              <w:ind w:left="320"/>
              <w:spacing w:after="0"/>
              <w:rPr>
                <w:sz w:val="20"/>
                <w:szCs w:val="20"/>
                <w:color w:val="auto"/>
              </w:rPr>
            </w:pPr>
            <w:r>
              <w:rPr>
                <w:rFonts w:ascii="Arial" w:cs="Arial" w:eastAsia="Arial" w:hAnsi="Arial"/>
                <w:sz w:val="15"/>
                <w:szCs w:val="15"/>
                <w:color w:val="auto"/>
              </w:rPr>
              <w:t>the Covered Year (measured at Vesting</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 w:type="dxa"/>
            <w:vAlign w:val="bottom"/>
          </w:tcPr>
          <w:p>
            <w:pPr>
              <w:ind w:left="60"/>
              <w:spacing w:after="0"/>
              <w:rPr>
                <w:sz w:val="20"/>
                <w:szCs w:val="20"/>
                <w:color w:val="auto"/>
              </w:rPr>
            </w:pPr>
            <w:r>
              <w:rPr>
                <w:rFonts w:ascii="Arial" w:cs="Arial" w:eastAsia="Arial" w:hAnsi="Arial"/>
                <w:sz w:val="15"/>
                <w:szCs w:val="15"/>
                <w:color w:val="auto"/>
              </w:rPr>
              <w:t>​</w:t>
            </w:r>
          </w:p>
        </w:tc>
        <w:tc>
          <w:tcPr>
            <w:tcW w:w="3120" w:type="dxa"/>
            <w:vAlign w:val="bottom"/>
          </w:tcPr>
          <w:p>
            <w:pPr>
              <w:ind w:left="320"/>
              <w:spacing w:after="0"/>
              <w:rPr>
                <w:sz w:val="20"/>
                <w:szCs w:val="20"/>
                <w:color w:val="auto"/>
              </w:rPr>
            </w:pPr>
            <w:r>
              <w:rPr>
                <w:rFonts w:ascii="Arial" w:cs="Arial" w:eastAsia="Arial" w:hAnsi="Arial"/>
                <w:sz w:val="15"/>
                <w:szCs w:val="15"/>
                <w:color w:val="auto"/>
              </w:rPr>
              <w:t>Date)</w:t>
            </w:r>
          </w:p>
        </w:tc>
        <w:tc>
          <w:tcPr>
            <w:tcW w:w="1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0​​ ​​$</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0" w:type="dxa"/>
            <w:vAlign w:val="bottom"/>
            <w:shd w:val="clear" w:color="auto" w:fill="E5E5E5"/>
          </w:tcPr>
          <w:p>
            <w:pPr>
              <w:spacing w:after="0"/>
              <w:rPr>
                <w:sz w:val="21"/>
                <w:szCs w:val="21"/>
                <w:color w:val="auto"/>
              </w:rPr>
            </w:pPr>
          </w:p>
        </w:tc>
        <w:tc>
          <w:tcPr>
            <w:tcW w:w="3120" w:type="dxa"/>
            <w:vAlign w:val="bottom"/>
            <w:shd w:val="clear" w:color="auto" w:fill="E5E5E5"/>
          </w:tcPr>
          <w:p>
            <w:pPr>
              <w:ind w:left="160"/>
              <w:spacing w:after="0"/>
              <w:rPr>
                <w:sz w:val="20"/>
                <w:szCs w:val="20"/>
                <w:color w:val="auto"/>
              </w:rPr>
            </w:pPr>
            <w:r>
              <w:rPr>
                <w:rFonts w:ascii="Arial" w:cs="Arial" w:eastAsia="Arial" w:hAnsi="Arial"/>
                <w:sz w:val="15"/>
                <w:szCs w:val="15"/>
                <w:color w:val="auto"/>
              </w:rPr>
              <w:t>Change in Fair Value of Unvested Awards</w:t>
            </w:r>
          </w:p>
        </w:tc>
        <w:tc>
          <w:tcPr>
            <w:tcW w:w="4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E5E5E5"/>
          </w:tcPr>
          <w:p>
            <w:pPr>
              <w:spacing w:after="0"/>
              <w:rPr>
                <w:sz w:val="16"/>
                <w:szCs w:val="16"/>
                <w:color w:val="auto"/>
              </w:rPr>
            </w:pPr>
          </w:p>
        </w:tc>
        <w:tc>
          <w:tcPr>
            <w:tcW w:w="3120" w:type="dxa"/>
            <w:vAlign w:val="bottom"/>
            <w:shd w:val="clear" w:color="auto" w:fill="E5E5E5"/>
          </w:tcPr>
          <w:p>
            <w:pPr>
              <w:ind w:left="320"/>
              <w:spacing w:after="0"/>
              <w:rPr>
                <w:sz w:val="20"/>
                <w:szCs w:val="20"/>
                <w:color w:val="auto"/>
              </w:rPr>
            </w:pPr>
            <w:r>
              <w:rPr>
                <w:rFonts w:ascii="Arial" w:cs="Arial" w:eastAsia="Arial" w:hAnsi="Arial"/>
                <w:sz w:val="15"/>
                <w:szCs w:val="15"/>
                <w:color w:val="auto"/>
              </w:rPr>
              <w:t>Granted in Prior Years (measured at</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3120" w:type="dxa"/>
            <w:vAlign w:val="bottom"/>
            <w:shd w:val="clear" w:color="auto" w:fill="E5E5E5"/>
          </w:tcPr>
          <w:p>
            <w:pPr>
              <w:ind w:left="320"/>
              <w:spacing w:after="0"/>
              <w:rPr>
                <w:sz w:val="20"/>
                <w:szCs w:val="20"/>
                <w:color w:val="auto"/>
              </w:rPr>
            </w:pPr>
            <w:r>
              <w:rPr>
                <w:rFonts w:ascii="Arial" w:cs="Arial" w:eastAsia="Arial" w:hAnsi="Arial"/>
                <w:sz w:val="15"/>
                <w:szCs w:val="15"/>
                <w:color w:val="auto"/>
              </w:rPr>
              <w:t>year-end)</w:t>
            </w:r>
          </w:p>
        </w:tc>
        <w:tc>
          <w:tcPr>
            <w:tcW w:w="1000" w:type="dxa"/>
            <w:vAlign w:val="bottom"/>
            <w:gridSpan w:val="5"/>
            <w:shd w:val="clear" w:color="auto" w:fill="E5E5E5"/>
          </w:tcPr>
          <w:p>
            <w:pPr>
              <w:ind w:left="20"/>
              <w:spacing w:after="0"/>
              <w:rPr>
                <w:sz w:val="20"/>
                <w:szCs w:val="20"/>
                <w:color w:val="auto"/>
              </w:rPr>
            </w:pPr>
            <w:r>
              <w:rPr>
                <w:rFonts w:ascii="Arial" w:cs="Arial" w:eastAsia="Arial" w:hAnsi="Arial"/>
                <w:sz w:val="15"/>
                <w:szCs w:val="15"/>
                <w:color w:val="auto"/>
              </w:rPr>
              <w:t>​​​$ (3,242,948​​)</w:t>
            </w:r>
          </w:p>
        </w:tc>
        <w:tc>
          <w:tcPr>
            <w:tcW w:w="1120" w:type="dxa"/>
            <w:vAlign w:val="bottom"/>
            <w:gridSpan w:val="4"/>
            <w:shd w:val="clear" w:color="auto" w:fill="E5E5E5"/>
          </w:tcPr>
          <w:p>
            <w:pPr>
              <w:jc w:val="right"/>
              <w:spacing w:after="0"/>
              <w:rPr>
                <w:sz w:val="20"/>
                <w:szCs w:val="20"/>
                <w:color w:val="auto"/>
              </w:rPr>
            </w:pPr>
            <w:r>
              <w:rPr>
                <w:rFonts w:ascii="Arial" w:cs="Arial" w:eastAsia="Arial" w:hAnsi="Arial"/>
                <w:sz w:val="15"/>
                <w:szCs w:val="15"/>
                <w:color w:val="auto"/>
              </w:rPr>
              <w:t>​​$ (8,256,281​​​)$</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(2,793,376​​​​)$</w:t>
            </w:r>
          </w:p>
        </w:tc>
        <w:tc>
          <w:tcPr>
            <w:tcW w:w="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3,834,188​​​​$</w:t>
            </w:r>
          </w:p>
        </w:tc>
        <w:tc>
          <w:tcPr>
            <w:tcW w:w="1000" w:type="dxa"/>
            <w:vAlign w:val="bottom"/>
            <w:gridSpan w:val="3"/>
            <w:shd w:val="clear" w:color="auto" w:fill="E5E5E5"/>
          </w:tcPr>
          <w:p>
            <w:pPr>
              <w:jc w:val="right"/>
              <w:spacing w:after="0"/>
              <w:rPr>
                <w:sz w:val="20"/>
                <w:szCs w:val="20"/>
                <w:color w:val="auto"/>
              </w:rPr>
            </w:pPr>
            <w:r>
              <w:rPr>
                <w:rFonts w:ascii="Arial" w:cs="Arial" w:eastAsia="Arial" w:hAnsi="Arial"/>
                <w:sz w:val="15"/>
                <w:szCs w:val="15"/>
                <w:color w:val="auto"/>
              </w:rPr>
              <w:t>(11,440,516​​​​)$</w:t>
            </w:r>
          </w:p>
        </w:tc>
        <w:tc>
          <w:tcPr>
            <w:tcW w:w="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1,511,487​​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3120" w:type="dxa"/>
            <w:vAlign w:val="bottom"/>
          </w:tcPr>
          <w:p>
            <w:pPr>
              <w:ind w:left="160"/>
              <w:spacing w:after="0"/>
              <w:rPr>
                <w:sz w:val="20"/>
                <w:szCs w:val="20"/>
                <w:color w:val="auto"/>
              </w:rPr>
            </w:pPr>
            <w:r>
              <w:rPr>
                <w:rFonts w:ascii="Arial" w:cs="Arial" w:eastAsia="Arial" w:hAnsi="Arial"/>
                <w:sz w:val="15"/>
                <w:szCs w:val="15"/>
                <w:color w:val="auto"/>
              </w:rPr>
              <w:t>Change in Fair Value of Vested Awards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120" w:type="dxa"/>
            <w:vAlign w:val="bottom"/>
          </w:tcPr>
          <w:p>
            <w:pPr>
              <w:ind w:left="320"/>
              <w:spacing w:after="0"/>
              <w:rPr>
                <w:sz w:val="20"/>
                <w:szCs w:val="20"/>
                <w:color w:val="auto"/>
              </w:rPr>
            </w:pPr>
            <w:r>
              <w:rPr>
                <w:rFonts w:ascii="Arial" w:cs="Arial" w:eastAsia="Arial" w:hAnsi="Arial"/>
                <w:sz w:val="15"/>
                <w:szCs w:val="15"/>
                <w:color w:val="auto"/>
              </w:rPr>
              <w:t>Granted in Prior Years (measured at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 w:type="dxa"/>
            <w:vAlign w:val="bottom"/>
          </w:tcPr>
          <w:p>
            <w:pPr>
              <w:ind w:left="60"/>
              <w:spacing w:after="0"/>
              <w:rPr>
                <w:sz w:val="20"/>
                <w:szCs w:val="20"/>
                <w:color w:val="auto"/>
              </w:rPr>
            </w:pPr>
            <w:r>
              <w:rPr>
                <w:rFonts w:ascii="Arial" w:cs="Arial" w:eastAsia="Arial" w:hAnsi="Arial"/>
                <w:sz w:val="15"/>
                <w:szCs w:val="15"/>
                <w:color w:val="auto"/>
              </w:rPr>
              <w:t>​</w:t>
            </w:r>
          </w:p>
        </w:tc>
        <w:tc>
          <w:tcPr>
            <w:tcW w:w="3120" w:type="dxa"/>
            <w:vAlign w:val="bottom"/>
          </w:tcPr>
          <w:p>
            <w:pPr>
              <w:ind w:left="320"/>
              <w:spacing w:after="0"/>
              <w:rPr>
                <w:sz w:val="20"/>
                <w:szCs w:val="20"/>
                <w:color w:val="auto"/>
              </w:rPr>
            </w:pPr>
            <w:r>
              <w:rPr>
                <w:rFonts w:ascii="Arial" w:cs="Arial" w:eastAsia="Arial" w:hAnsi="Arial"/>
                <w:sz w:val="15"/>
                <w:szCs w:val="15"/>
                <w:color w:val="auto"/>
              </w:rPr>
              <w:t>vesting date)</w:t>
            </w:r>
          </w:p>
        </w:tc>
        <w:tc>
          <w:tcPr>
            <w:tcW w:w="1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(115,293​​) ​​$</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(78,543​​​)$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(1,371,065​​​​)$</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(908,017​​​​)$</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3,010,047​​​​$</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15,586,171​​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0" w:type="dxa"/>
            <w:vAlign w:val="bottom"/>
            <w:shd w:val="clear" w:color="auto" w:fill="E5E5E5"/>
          </w:tcPr>
          <w:p>
            <w:pPr>
              <w:spacing w:after="0"/>
              <w:rPr>
                <w:sz w:val="21"/>
                <w:szCs w:val="21"/>
                <w:color w:val="auto"/>
              </w:rPr>
            </w:pPr>
          </w:p>
        </w:tc>
        <w:tc>
          <w:tcPr>
            <w:tcW w:w="3120" w:type="dxa"/>
            <w:vAlign w:val="bottom"/>
            <w:shd w:val="clear" w:color="auto" w:fill="E5E5E5"/>
          </w:tcPr>
          <w:p>
            <w:pPr>
              <w:ind w:left="160"/>
              <w:spacing w:after="0"/>
              <w:rPr>
                <w:sz w:val="20"/>
                <w:szCs w:val="20"/>
                <w:color w:val="auto"/>
              </w:rPr>
            </w:pPr>
            <w:r>
              <w:rPr>
                <w:rFonts w:ascii="Arial" w:cs="Arial" w:eastAsia="Arial" w:hAnsi="Arial"/>
                <w:sz w:val="15"/>
                <w:szCs w:val="15"/>
                <w:color w:val="auto"/>
              </w:rPr>
              <w:t>Dividends Accrued on Unvested RSUs and</w:t>
            </w:r>
          </w:p>
        </w:tc>
        <w:tc>
          <w:tcPr>
            <w:tcW w:w="4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E5E5E5"/>
          </w:tcPr>
          <w:p>
            <w:pPr>
              <w:ind w:left="60"/>
              <w:spacing w:after="0"/>
              <w:rPr>
                <w:sz w:val="20"/>
                <w:szCs w:val="20"/>
                <w:color w:val="auto"/>
              </w:rPr>
            </w:pPr>
            <w:r>
              <w:rPr>
                <w:rFonts w:ascii="Arial" w:cs="Arial" w:eastAsia="Arial" w:hAnsi="Arial"/>
                <w:sz w:val="15"/>
                <w:szCs w:val="15"/>
                <w:color w:val="auto"/>
              </w:rPr>
              <w:t>​</w:t>
            </w:r>
          </w:p>
        </w:tc>
        <w:tc>
          <w:tcPr>
            <w:tcW w:w="3120" w:type="dxa"/>
            <w:vAlign w:val="bottom"/>
            <w:shd w:val="clear" w:color="auto" w:fill="E5E5E5"/>
          </w:tcPr>
          <w:p>
            <w:pPr>
              <w:ind w:left="320"/>
              <w:spacing w:after="0"/>
              <w:rPr>
                <w:sz w:val="20"/>
                <w:szCs w:val="20"/>
                <w:color w:val="auto"/>
              </w:rPr>
            </w:pPr>
            <w:r>
              <w:rPr>
                <w:rFonts w:ascii="Arial" w:cs="Arial" w:eastAsia="Arial" w:hAnsi="Arial"/>
                <w:sz w:val="15"/>
                <w:szCs w:val="15"/>
                <w:color w:val="auto"/>
              </w:rPr>
              <w:t>PSUs in the Covered Year</w:t>
            </w:r>
          </w:p>
        </w:tc>
        <w:tc>
          <w:tcPr>
            <w:tcW w:w="180" w:type="dxa"/>
            <w:vAlign w:val="bottom"/>
            <w:gridSpan w:val="2"/>
            <w:shd w:val="clear" w:color="auto" w:fill="E5E5E5"/>
          </w:tcPr>
          <w:p>
            <w:pPr>
              <w:ind w:left="20"/>
              <w:spacing w:after="0"/>
              <w:rPr>
                <w:sz w:val="20"/>
                <w:szCs w:val="20"/>
                <w:color w:val="auto"/>
              </w:rPr>
            </w:pPr>
            <w:r>
              <w:rPr>
                <w:rFonts w:ascii="Arial" w:cs="Arial" w:eastAsia="Arial" w:hAnsi="Arial"/>
                <w:sz w:val="15"/>
                <w:szCs w:val="15"/>
                <w:color w:val="auto"/>
              </w:rPr>
              <w:t>​​​$</w:t>
            </w:r>
          </w:p>
        </w:tc>
        <w:tc>
          <w:tcPr>
            <w:tcW w:w="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00" w:type="dxa"/>
            <w:vAlign w:val="bottom"/>
          </w:tcPr>
          <w:p>
            <w:pPr>
              <w:ind w:left="60"/>
              <w:spacing w:after="0"/>
              <w:rPr>
                <w:sz w:val="20"/>
                <w:szCs w:val="20"/>
                <w:color w:val="auto"/>
              </w:rPr>
            </w:pPr>
            <w:r>
              <w:rPr>
                <w:rFonts w:ascii="Arial" w:cs="Arial" w:eastAsia="Arial" w:hAnsi="Arial"/>
                <w:sz w:val="15"/>
                <w:szCs w:val="15"/>
                <w:color w:val="auto"/>
              </w:rPr>
              <w:t>​</w:t>
            </w:r>
          </w:p>
        </w:tc>
        <w:tc>
          <w:tcPr>
            <w:tcW w:w="3120" w:type="dxa"/>
            <w:vAlign w:val="bottom"/>
          </w:tcPr>
          <w:p>
            <w:pPr>
              <w:ind w:left="160"/>
              <w:spacing w:after="0"/>
              <w:rPr>
                <w:sz w:val="20"/>
                <w:szCs w:val="20"/>
                <w:color w:val="auto"/>
              </w:rPr>
            </w:pPr>
            <w:r>
              <w:rPr>
                <w:rFonts w:ascii="Arial" w:cs="Arial" w:eastAsia="Arial" w:hAnsi="Arial"/>
                <w:sz w:val="15"/>
                <w:szCs w:val="15"/>
                <w:color w:val="auto"/>
              </w:rPr>
              <w:t>Pension Service Costs</w:t>
            </w:r>
          </w:p>
        </w:tc>
        <w:tc>
          <w:tcPr>
            <w:tcW w:w="180" w:type="dxa"/>
            <w:vAlign w:val="bottom"/>
            <w:gridSpan w:val="2"/>
          </w:tcPr>
          <w:p>
            <w:pPr>
              <w:ind w:left="20"/>
              <w:spacing w:after="0" w:line="284" w:lineRule="exact"/>
              <w:rPr>
                <w:sz w:val="20"/>
                <w:szCs w:val="20"/>
                <w:color w:val="auto"/>
              </w:rPr>
            </w:pP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60" w:type="dxa"/>
            <w:vAlign w:val="bottom"/>
          </w:tcPr>
          <w:p>
            <w:pPr>
              <w:spacing w:after="0"/>
              <w:rPr>
                <w:sz w:val="24"/>
                <w:szCs w:val="24"/>
                <w:color w:val="auto"/>
              </w:rPr>
            </w:pPr>
          </w:p>
        </w:tc>
        <w:tc>
          <w:tcPr>
            <w:tcW w:w="920" w:type="dxa"/>
            <w:vAlign w:val="bottom"/>
            <w:gridSpan w:val="3"/>
          </w:tcPr>
          <w:p>
            <w:pPr>
              <w:jc w:val="right"/>
              <w:spacing w:after="0" w:line="284"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 ​​</w:t>
            </w:r>
            <w:r>
              <w:rPr>
                <w:rFonts w:ascii="Arial" w:cs="Arial" w:eastAsia="Arial" w:hAnsi="Arial"/>
                <w:sz w:val="30"/>
                <w:szCs w:val="30"/>
                <w:color w:val="auto"/>
                <w:vertAlign w:val="superscript"/>
              </w:rPr>
              <w:t>$</w:t>
            </w:r>
          </w:p>
        </w:tc>
        <w:tc>
          <w:tcPr>
            <w:tcW w:w="80" w:type="dxa"/>
            <w:vAlign w:val="bottom"/>
          </w:tcPr>
          <w:p>
            <w:pPr>
              <w:spacing w:after="0"/>
              <w:rPr>
                <w:sz w:val="24"/>
                <w:szCs w:val="24"/>
                <w:color w:val="auto"/>
              </w:rPr>
            </w:pPr>
          </w:p>
        </w:tc>
        <w:tc>
          <w:tcPr>
            <w:tcW w:w="880" w:type="dxa"/>
            <w:vAlign w:val="bottom"/>
            <w:gridSpan w:val="2"/>
          </w:tcPr>
          <w:p>
            <w:pPr>
              <w:jc w:val="right"/>
              <w:spacing w:after="0" w:line="284"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960" w:type="dxa"/>
            <w:vAlign w:val="bottom"/>
            <w:gridSpan w:val="2"/>
          </w:tcPr>
          <w:p>
            <w:pPr>
              <w:jc w:val="right"/>
              <w:spacing w:after="0" w:line="284"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60" w:type="dxa"/>
            <w:vAlign w:val="bottom"/>
          </w:tcPr>
          <w:p>
            <w:pPr>
              <w:spacing w:after="0"/>
              <w:rPr>
                <w:sz w:val="24"/>
                <w:szCs w:val="24"/>
                <w:color w:val="auto"/>
              </w:rPr>
            </w:pPr>
          </w:p>
        </w:tc>
        <w:tc>
          <w:tcPr>
            <w:tcW w:w="900" w:type="dxa"/>
            <w:vAlign w:val="bottom"/>
            <w:gridSpan w:val="2"/>
          </w:tcPr>
          <w:p>
            <w:pPr>
              <w:jc w:val="right"/>
              <w:spacing w:after="0" w:line="284"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40" w:type="dxa"/>
            <w:vAlign w:val="bottom"/>
          </w:tcPr>
          <w:p>
            <w:pPr>
              <w:spacing w:after="0"/>
              <w:rPr>
                <w:sz w:val="24"/>
                <w:szCs w:val="24"/>
                <w:color w:val="auto"/>
              </w:rPr>
            </w:pPr>
          </w:p>
        </w:tc>
        <w:tc>
          <w:tcPr>
            <w:tcW w:w="960" w:type="dxa"/>
            <w:vAlign w:val="bottom"/>
            <w:gridSpan w:val="2"/>
          </w:tcPr>
          <w:p>
            <w:pPr>
              <w:jc w:val="right"/>
              <w:spacing w:after="0" w:line="284"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60" w:type="dxa"/>
            <w:vAlign w:val="bottom"/>
          </w:tcPr>
          <w:p>
            <w:pPr>
              <w:spacing w:after="0"/>
              <w:rPr>
                <w:sz w:val="24"/>
                <w:szCs w:val="24"/>
                <w:color w:val="auto"/>
              </w:rPr>
            </w:pPr>
          </w:p>
        </w:tc>
        <w:tc>
          <w:tcPr>
            <w:tcW w:w="880" w:type="dxa"/>
            <w:vAlign w:val="bottom"/>
          </w:tcPr>
          <w:p>
            <w:pPr>
              <w:jc w:val="right"/>
              <w:spacing w:after="0" w:line="284"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E5E5E5"/>
            </w:tcBorders>
            <w:vMerge w:val="restart"/>
            <w:shd w:val="clear" w:color="auto" w:fill="E5E5E5"/>
          </w:tcPr>
          <w:p>
            <w:pPr>
              <w:ind w:left="60"/>
              <w:spacing w:after="0"/>
              <w:rPr>
                <w:sz w:val="20"/>
                <w:szCs w:val="20"/>
                <w:color w:val="auto"/>
              </w:rPr>
            </w:pPr>
            <w:r>
              <w:rPr>
                <w:rFonts w:ascii="Arial" w:cs="Arial" w:eastAsia="Arial" w:hAnsi="Arial"/>
                <w:sz w:val="15"/>
                <w:szCs w:val="15"/>
                <w:color w:val="auto"/>
              </w:rPr>
              <w:t>​</w:t>
            </w:r>
          </w:p>
        </w:tc>
        <w:tc>
          <w:tcPr>
            <w:tcW w:w="312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5"/>
                <w:szCs w:val="15"/>
                <w:b w:val="1"/>
                <w:bCs w:val="1"/>
                <w:color w:val="auto"/>
              </w:rPr>
              <w:t>Total Compensation Actually Paid</w:t>
            </w:r>
          </w:p>
        </w:tc>
        <w:tc>
          <w:tcPr>
            <w:tcW w:w="4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1,073,900</w:t>
            </w:r>
          </w:p>
        </w:tc>
        <w:tc>
          <w:tcPr>
            <w:tcW w:w="6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gridSpan w:val="4"/>
            <w:shd w:val="clear" w:color="auto" w:fill="E5E5E5"/>
          </w:tcPr>
          <w:p>
            <w:pPr>
              <w:jc w:val="right"/>
              <w:spacing w:after="0"/>
              <w:rPr>
                <w:sz w:val="20"/>
                <w:szCs w:val="20"/>
                <w:color w:val="auto"/>
              </w:rPr>
            </w:pPr>
            <w:r>
              <w:rPr>
                <w:rFonts w:ascii="Arial" w:cs="Arial" w:eastAsia="Arial" w:hAnsi="Arial"/>
                <w:sz w:val="15"/>
                <w:szCs w:val="15"/>
                <w:color w:val="auto"/>
              </w:rPr>
              <w:t>$ (5,117,896) $</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3,375,977</w:t>
            </w:r>
          </w:p>
        </w:tc>
        <w:tc>
          <w:tcPr>
            <w:tcW w:w="960" w:type="dxa"/>
            <w:vAlign w:val="bottom"/>
            <w:tcBorders>
              <w:top w:val="single" w:sz="8" w:color="auto"/>
            </w:tcBorders>
            <w:gridSpan w:val="3"/>
            <w:shd w:val="clear" w:color="auto" w:fill="E5E5E5"/>
          </w:tcPr>
          <w:p>
            <w:pPr>
              <w:jc w:val="right"/>
              <w:spacing w:after="0"/>
              <w:rPr>
                <w:sz w:val="20"/>
                <w:szCs w:val="20"/>
                <w:color w:val="auto"/>
              </w:rPr>
            </w:pPr>
            <w:r>
              <w:rPr>
                <w:rFonts w:ascii="Arial" w:cs="Arial" w:eastAsia="Arial" w:hAnsi="Arial"/>
                <w:sz w:val="15"/>
                <w:szCs w:val="15"/>
                <w:color w:val="auto"/>
              </w:rPr>
              <w:t>$15,601,868</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(3,792,985) $</w:t>
            </w:r>
          </w:p>
        </w:tc>
        <w:tc>
          <w:tcPr>
            <w:tcW w:w="6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jc w:val="right"/>
              <w:ind w:right="25"/>
              <w:spacing w:after="0"/>
              <w:rPr>
                <w:sz w:val="20"/>
                <w:szCs w:val="20"/>
                <w:color w:val="auto"/>
              </w:rPr>
            </w:pPr>
            <w:r>
              <w:rPr>
                <w:rFonts w:ascii="Arial" w:cs="Arial" w:eastAsia="Arial" w:hAnsi="Arial"/>
                <w:sz w:val="15"/>
                <w:szCs w:val="15"/>
                <w:color w:val="auto"/>
              </w:rPr>
              <w:t>25,616,911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00" w:type="dxa"/>
            <w:vAlign w:val="bottom"/>
            <w:tcBorders>
              <w:bottom w:val="single" w:sz="8" w:color="auto"/>
            </w:tcBorders>
            <w:vMerge w:val="continue"/>
            <w:shd w:val="clear" w:color="auto" w:fill="E5E5E5"/>
          </w:tcPr>
          <w:p>
            <w:pPr>
              <w:spacing w:after="0"/>
              <w:rPr>
                <w:sz w:val="8"/>
                <w:szCs w:val="8"/>
                <w:color w:val="auto"/>
              </w:rPr>
            </w:pPr>
          </w:p>
        </w:tc>
        <w:tc>
          <w:tcPr>
            <w:tcW w:w="3120" w:type="dxa"/>
            <w:vAlign w:val="bottom"/>
            <w:tcBorders>
              <w:bottom w:val="single" w:sz="8" w:color="auto"/>
            </w:tcBorders>
            <w:shd w:val="clear" w:color="auto" w:fill="E5E5E5"/>
          </w:tcPr>
          <w:p>
            <w:pPr>
              <w:spacing w:after="0"/>
              <w:rPr>
                <w:sz w:val="8"/>
                <w:szCs w:val="8"/>
                <w:color w:val="auto"/>
              </w:rPr>
            </w:pPr>
          </w:p>
        </w:tc>
        <w:tc>
          <w:tcPr>
            <w:tcW w:w="180" w:type="dxa"/>
            <w:vAlign w:val="bottom"/>
            <w:tcBorders>
              <w:bottom w:val="single" w:sz="8" w:color="auto"/>
            </w:tcBorders>
            <w:gridSpan w:val="2"/>
            <w:shd w:val="clear" w:color="auto" w:fill="E5E5E5"/>
          </w:tcPr>
          <w:p>
            <w:pPr>
              <w:ind w:left="20"/>
              <w:spacing w:after="0" w:line="95" w:lineRule="exact"/>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E5E5E5"/>
          </w:tcPr>
          <w:p>
            <w:pPr>
              <w:spacing w:after="0"/>
              <w:rPr>
                <w:sz w:val="8"/>
                <w:szCs w:val="8"/>
                <w:color w:val="auto"/>
              </w:rPr>
            </w:pPr>
          </w:p>
        </w:tc>
        <w:tc>
          <w:tcPr>
            <w:tcW w:w="700" w:type="dxa"/>
            <w:vAlign w:val="bottom"/>
            <w:tcBorders>
              <w:bottom w:val="single" w:sz="8" w:color="auto"/>
            </w:tcBorders>
            <w:shd w:val="clear" w:color="auto" w:fill="E5E5E5"/>
          </w:tcPr>
          <w:p>
            <w:pPr>
              <w:spacing w:after="0"/>
              <w:rPr>
                <w:sz w:val="8"/>
                <w:szCs w:val="8"/>
                <w:color w:val="auto"/>
              </w:rPr>
            </w:pPr>
          </w:p>
        </w:tc>
        <w:tc>
          <w:tcPr>
            <w:tcW w:w="60" w:type="dxa"/>
            <w:vAlign w:val="bottom"/>
            <w:tcBorders>
              <w:bottom w:val="single" w:sz="8" w:color="auto"/>
            </w:tcBorders>
            <w:vMerge w:val="continue"/>
            <w:shd w:val="clear" w:color="auto" w:fill="E5E5E5"/>
          </w:tcPr>
          <w:p>
            <w:pPr>
              <w:spacing w:after="0"/>
              <w:rPr>
                <w:sz w:val="8"/>
                <w:szCs w:val="8"/>
                <w:color w:val="auto"/>
              </w:rPr>
            </w:pPr>
          </w:p>
        </w:tc>
        <w:tc>
          <w:tcPr>
            <w:tcW w:w="160" w:type="dxa"/>
            <w:vAlign w:val="bottom"/>
            <w:tcBorders>
              <w:bottom w:val="single" w:sz="8" w:color="auto"/>
            </w:tcBorders>
            <w:shd w:val="clear" w:color="auto" w:fill="E5E5E5"/>
          </w:tcPr>
          <w:p>
            <w:pPr>
              <w:jc w:val="right"/>
              <w:spacing w:after="0" w:line="95"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shd w:val="clear" w:color="auto" w:fill="E5E5E5"/>
          </w:tcPr>
          <w:p>
            <w:pPr>
              <w:spacing w:after="0"/>
              <w:rPr>
                <w:sz w:val="8"/>
                <w:szCs w:val="8"/>
                <w:color w:val="auto"/>
              </w:rPr>
            </w:pPr>
          </w:p>
        </w:tc>
        <w:tc>
          <w:tcPr>
            <w:tcW w:w="700" w:type="dxa"/>
            <w:vAlign w:val="bottom"/>
            <w:tcBorders>
              <w:bottom w:val="single" w:sz="8" w:color="auto"/>
            </w:tcBorders>
            <w:shd w:val="clear" w:color="auto" w:fill="E5E5E5"/>
          </w:tcPr>
          <w:p>
            <w:pPr>
              <w:spacing w:after="0"/>
              <w:rPr>
                <w:sz w:val="8"/>
                <w:szCs w:val="8"/>
                <w:color w:val="auto"/>
              </w:rPr>
            </w:pPr>
          </w:p>
        </w:tc>
        <w:tc>
          <w:tcPr>
            <w:tcW w:w="180" w:type="dxa"/>
            <w:vAlign w:val="bottom"/>
            <w:tcBorders>
              <w:bottom w:val="single" w:sz="8" w:color="auto"/>
            </w:tcBorders>
            <w:shd w:val="clear" w:color="auto" w:fill="E5E5E5"/>
          </w:tcPr>
          <w:p>
            <w:pPr>
              <w:jc w:val="right"/>
              <w:spacing w:after="0" w:line="95" w:lineRule="exact"/>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E5E5E5"/>
          </w:tcPr>
          <w:p>
            <w:pPr>
              <w:spacing w:after="0"/>
              <w:rPr>
                <w:sz w:val="8"/>
                <w:szCs w:val="8"/>
                <w:color w:val="auto"/>
              </w:rPr>
            </w:pPr>
          </w:p>
        </w:tc>
        <w:tc>
          <w:tcPr>
            <w:tcW w:w="200" w:type="dxa"/>
            <w:vAlign w:val="bottom"/>
            <w:tcBorders>
              <w:bottom w:val="single" w:sz="8" w:color="auto"/>
            </w:tcBorders>
            <w:shd w:val="clear" w:color="auto" w:fill="E5E5E5"/>
          </w:tcPr>
          <w:p>
            <w:pPr>
              <w:jc w:val="right"/>
              <w:spacing w:after="0" w:line="95" w:lineRule="exact"/>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E5E5E5"/>
          </w:tcPr>
          <w:p>
            <w:pPr>
              <w:spacing w:after="0"/>
              <w:rPr>
                <w:sz w:val="8"/>
                <w:szCs w:val="8"/>
                <w:color w:val="auto"/>
              </w:rPr>
            </w:pPr>
          </w:p>
        </w:tc>
        <w:tc>
          <w:tcPr>
            <w:tcW w:w="700" w:type="dxa"/>
            <w:vAlign w:val="bottom"/>
            <w:tcBorders>
              <w:bottom w:val="single" w:sz="8" w:color="auto"/>
            </w:tcBorders>
            <w:shd w:val="clear" w:color="auto" w:fill="E5E5E5"/>
          </w:tcPr>
          <w:p>
            <w:pPr>
              <w:spacing w:after="0"/>
              <w:rPr>
                <w:sz w:val="8"/>
                <w:szCs w:val="8"/>
                <w:color w:val="auto"/>
              </w:rPr>
            </w:pPr>
          </w:p>
        </w:tc>
        <w:tc>
          <w:tcPr>
            <w:tcW w:w="200" w:type="dxa"/>
            <w:vAlign w:val="bottom"/>
            <w:tcBorders>
              <w:bottom w:val="single" w:sz="8" w:color="auto"/>
            </w:tcBorders>
            <w:shd w:val="clear" w:color="auto" w:fill="E5E5E5"/>
          </w:tcPr>
          <w:p>
            <w:pPr>
              <w:jc w:val="right"/>
              <w:spacing w:after="0" w:line="95" w:lineRule="exact"/>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shd w:val="clear" w:color="auto" w:fill="E5E5E5"/>
          </w:tcPr>
          <w:p>
            <w:pPr>
              <w:spacing w:after="0"/>
              <w:rPr>
                <w:sz w:val="8"/>
                <w:szCs w:val="8"/>
                <w:color w:val="auto"/>
              </w:rPr>
            </w:pPr>
          </w:p>
        </w:tc>
        <w:tc>
          <w:tcPr>
            <w:tcW w:w="760" w:type="dxa"/>
            <w:vAlign w:val="bottom"/>
            <w:tcBorders>
              <w:bottom w:val="single" w:sz="8" w:color="auto"/>
            </w:tcBorders>
            <w:shd w:val="clear" w:color="auto" w:fill="E5E5E5"/>
          </w:tcPr>
          <w:p>
            <w:pPr>
              <w:spacing w:after="0"/>
              <w:rPr>
                <w:sz w:val="8"/>
                <w:szCs w:val="8"/>
                <w:color w:val="auto"/>
              </w:rPr>
            </w:pPr>
          </w:p>
        </w:tc>
        <w:tc>
          <w:tcPr>
            <w:tcW w:w="200" w:type="dxa"/>
            <w:vAlign w:val="bottom"/>
            <w:tcBorders>
              <w:bottom w:val="single" w:sz="8" w:color="auto"/>
            </w:tcBorders>
            <w:shd w:val="clear" w:color="auto" w:fill="E5E5E5"/>
          </w:tcPr>
          <w:p>
            <w:pPr>
              <w:jc w:val="right"/>
              <w:spacing w:after="0" w:line="95" w:lineRule="exact"/>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E5E5E5"/>
          </w:tcPr>
          <w:p>
            <w:pPr>
              <w:spacing w:after="0"/>
              <w:rPr>
                <w:sz w:val="8"/>
                <w:szCs w:val="8"/>
                <w:color w:val="auto"/>
              </w:rPr>
            </w:pPr>
          </w:p>
        </w:tc>
        <w:tc>
          <w:tcPr>
            <w:tcW w:w="880" w:type="dxa"/>
            <w:vAlign w:val="bottom"/>
            <w:tcBorders>
              <w:bottom w:val="single" w:sz="8" w:color="auto"/>
            </w:tcBorders>
            <w:shd w:val="clear" w:color="auto" w:fill="E5E5E5"/>
          </w:tcPr>
          <w:p>
            <w:pPr>
              <w:jc w:val="right"/>
              <w:spacing w:after="0" w:line="9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-222250</wp:posOffset>
            </wp:positionV>
            <wp:extent cx="20656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TABLES</w:t>
      </w:r>
    </w:p>
    <w:p>
      <w:pPr>
        <w:spacing w:after="0" w:line="400"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2980" w:type="dxa"/>
            <w:vAlign w:val="bottom"/>
          </w:tcPr>
          <w:p>
            <w:pPr>
              <w:ind w:left="80"/>
              <w:spacing w:after="0"/>
              <w:rPr>
                <w:sz w:val="20"/>
                <w:szCs w:val="20"/>
                <w:color w:val="auto"/>
              </w:rPr>
            </w:pPr>
            <w:r>
              <w:rPr>
                <w:rFonts w:ascii="Arial" w:cs="Arial" w:eastAsia="Arial" w:hAnsi="Arial"/>
                <w:sz w:val="15"/>
                <w:szCs w:val="15"/>
                <w:b w:val="1"/>
                <w:bCs w:val="1"/>
                <w:color w:val="auto"/>
              </w:rPr>
              <w:t>Non-CEO NEOs (Average)</w:t>
            </w:r>
          </w:p>
        </w:tc>
        <w:tc>
          <w:tcPr>
            <w:tcW w:w="1380" w:type="dxa"/>
            <w:vAlign w:val="bottom"/>
            <w:vMerge w:val="restart"/>
          </w:tcPr>
          <w:p>
            <w:pPr>
              <w:ind w:left="1020"/>
              <w:spacing w:after="0"/>
              <w:rPr>
                <w:sz w:val="20"/>
                <w:szCs w:val="20"/>
                <w:color w:val="auto"/>
              </w:rPr>
            </w:pPr>
            <w:r>
              <w:rPr>
                <w:rFonts w:ascii="Arial" w:cs="Arial" w:eastAsia="Arial" w:hAnsi="Arial"/>
                <w:sz w:val="15"/>
                <w:szCs w:val="15"/>
                <w:b w:val="1"/>
                <w:bCs w:val="1"/>
                <w:color w:val="auto"/>
              </w:rPr>
              <w:t>​ ​</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4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2024</w:t>
            </w:r>
          </w:p>
        </w:tc>
        <w:tc>
          <w:tcPr>
            <w:tcW w:w="4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4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4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w:t>
            </w:r>
          </w:p>
        </w:tc>
        <w:tc>
          <w:tcPr>
            <w:tcW w:w="680" w:type="dxa"/>
            <w:vAlign w:val="bottom"/>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2980" w:type="dxa"/>
            <w:vAlign w:val="bottom"/>
            <w:tcBorders>
              <w:bottom w:val="single" w:sz="8" w:color="auto"/>
            </w:tcBorders>
          </w:tcPr>
          <w:p>
            <w:pPr>
              <w:ind w:left="80"/>
              <w:spacing w:after="0" w:line="68" w:lineRule="exact"/>
              <w:rPr>
                <w:sz w:val="20"/>
                <w:szCs w:val="20"/>
                <w:color w:val="auto"/>
              </w:rPr>
            </w:pPr>
            <w:r>
              <w:rPr>
                <w:rFonts w:ascii="Arial" w:cs="Arial" w:eastAsia="Arial" w:hAnsi="Arial"/>
                <w:sz w:val="7"/>
                <w:szCs w:val="7"/>
                <w:b w:val="1"/>
                <w:bCs w:val="1"/>
                <w:color w:val="auto"/>
              </w:rPr>
              <w:t>​</w:t>
            </w:r>
          </w:p>
        </w:tc>
        <w:tc>
          <w:tcPr>
            <w:tcW w:w="138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3755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37555" cy="16319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35" w:lineRule="exact"/>
        <w:rPr>
          <w:sz w:val="20"/>
          <w:szCs w:val="20"/>
          <w:color w:val="auto"/>
        </w:rPr>
      </w:pPr>
    </w:p>
    <w:p>
      <w:pPr>
        <w:ind w:left="800" w:right="1100"/>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Summary Compensation Table Total</w:t>
      </w:r>
      <w:r>
        <w:rPr>
          <w:rFonts w:ascii="Arial" w:cs="Arial" w:eastAsia="Arial" w:hAnsi="Arial"/>
          <w:sz w:val="15"/>
          <w:szCs w:val="15"/>
          <w:color w:val="auto"/>
        </w:rPr>
        <w:t xml:space="preserve"> </w:t>
      </w:r>
      <w:r>
        <w:rPr>
          <w:rFonts w:ascii="Arial" w:cs="Arial" w:eastAsia="Arial" w:hAnsi="Arial"/>
          <w:sz w:val="15"/>
          <w:szCs w:val="15"/>
          <w:b w:val="1"/>
          <w:bCs w:val="1"/>
          <w:color w:val="auto"/>
        </w:rPr>
        <w:t>​Less: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Fair Value of Stock Awards Granted in the Covered</w:t>
      </w:r>
    </w:p>
    <w:p>
      <w:pPr>
        <w:spacing w:after="0" w:line="28" w:lineRule="exact"/>
        <w:rPr>
          <w:sz w:val="20"/>
          <w:szCs w:val="20"/>
          <w:color w:val="auto"/>
        </w:rPr>
      </w:pPr>
    </w:p>
    <w:p>
      <w:pPr>
        <w:ind w:left="1140" w:hanging="337"/>
        <w:spacing w:after="0"/>
        <w:tabs>
          <w:tab w:leader="none" w:pos="11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Year (measured at grant date)</w:t>
      </w:r>
    </w:p>
    <w:p>
      <w:pPr>
        <w:spacing w:after="0" w:line="59"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Fair Value of Awards Granted in Prior Year that were</w:t>
      </w:r>
    </w:p>
    <w:p>
      <w:pPr>
        <w:spacing w:after="0" w:line="28"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Forfeited during the Covered Year (measured at</w:t>
      </w:r>
    </w:p>
    <w:p>
      <w:pPr>
        <w:spacing w:after="0" w:line="17" w:lineRule="exact"/>
        <w:rPr>
          <w:sz w:val="20"/>
          <w:szCs w:val="20"/>
          <w:color w:val="auto"/>
        </w:rPr>
      </w:pPr>
    </w:p>
    <w:p>
      <w:pPr>
        <w:ind w:left="1140" w:hanging="337"/>
        <w:spacing w:after="0"/>
        <w:tabs>
          <w:tab w:leader="none" w:pos="11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prior year-end)</w:t>
      </w:r>
    </w:p>
    <w:p>
      <w:pPr>
        <w:spacing w:after="0" w:line="59" w:lineRule="exact"/>
        <w:rPr>
          <w:rFonts w:ascii="Arial" w:cs="Arial" w:eastAsia="Arial" w:hAnsi="Arial"/>
          <w:sz w:val="15"/>
          <w:szCs w:val="15"/>
          <w:color w:val="auto"/>
        </w:rPr>
      </w:pPr>
    </w:p>
    <w:p>
      <w:pPr>
        <w:ind w:left="1000" w:hanging="197"/>
        <w:spacing w:after="0"/>
        <w:tabs>
          <w:tab w:leader="none" w:pos="10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Change in Pension Value</w:t>
      </w:r>
    </w:p>
    <w:p>
      <w:pPr>
        <w:spacing w:after="0" w:line="68"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5"/>
          <w:szCs w:val="15"/>
          <w:b w:val="1"/>
          <w:bCs w:val="1"/>
          <w:color w:val="auto"/>
        </w:rPr>
        <w:t>​Plus:</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Fair Value of Unvested Awards Granted in the</w:t>
      </w:r>
    </w:p>
    <w:p>
      <w:pPr>
        <w:spacing w:after="0" w:line="28" w:lineRule="exact"/>
        <w:rPr>
          <w:sz w:val="20"/>
          <w:szCs w:val="20"/>
          <w:color w:val="auto"/>
        </w:rPr>
      </w:pPr>
    </w:p>
    <w:p>
      <w:pPr>
        <w:ind w:left="1140" w:hanging="337"/>
        <w:spacing w:after="0"/>
        <w:tabs>
          <w:tab w:leader="none" w:pos="11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Covered Year (measured at year-end)</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Fair Value of Vested Awards Granted in the Covered</w:t>
      </w:r>
    </w:p>
    <w:p>
      <w:pPr>
        <w:spacing w:after="0" w:line="28" w:lineRule="exact"/>
        <w:rPr>
          <w:sz w:val="20"/>
          <w:szCs w:val="20"/>
          <w:color w:val="auto"/>
        </w:rPr>
      </w:pPr>
    </w:p>
    <w:p>
      <w:pPr>
        <w:ind w:left="1140" w:hanging="337"/>
        <w:spacing w:after="0"/>
        <w:tabs>
          <w:tab w:leader="none" w:pos="11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Year (measured at Vesting Date)</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Change in Fair Value of Unvested Awards Granted in</w:t>
      </w:r>
    </w:p>
    <w:p>
      <w:pPr>
        <w:spacing w:after="0" w:line="28" w:lineRule="exact"/>
        <w:rPr>
          <w:sz w:val="20"/>
          <w:szCs w:val="20"/>
          <w:color w:val="auto"/>
        </w:rPr>
      </w:pPr>
    </w:p>
    <w:p>
      <w:pPr>
        <w:ind w:left="1140" w:hanging="337"/>
        <w:spacing w:after="0"/>
        <w:tabs>
          <w:tab w:leader="none" w:pos="11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Prior Years (measured at year-end)</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Change in Fair Value of Vested Awards Granted in</w:t>
      </w:r>
    </w:p>
    <w:p>
      <w:pPr>
        <w:spacing w:after="0" w:line="28" w:lineRule="exact"/>
        <w:rPr>
          <w:sz w:val="20"/>
          <w:szCs w:val="20"/>
          <w:color w:val="auto"/>
        </w:rPr>
      </w:pPr>
    </w:p>
    <w:p>
      <w:pPr>
        <w:ind w:left="1140" w:hanging="337"/>
        <w:spacing w:after="0"/>
        <w:tabs>
          <w:tab w:leader="none" w:pos="11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Prior Years (measured at vesting date)</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Dividends Accrued on Unvested RSUs and PSUs in</w:t>
      </w:r>
    </w:p>
    <w:p>
      <w:pPr>
        <w:spacing w:after="0" w:line="28" w:lineRule="exact"/>
        <w:rPr>
          <w:sz w:val="20"/>
          <w:szCs w:val="20"/>
          <w:color w:val="auto"/>
        </w:rPr>
      </w:pPr>
    </w:p>
    <w:p>
      <w:pPr>
        <w:ind w:left="1140" w:hanging="337"/>
        <w:spacing w:after="0"/>
        <w:tabs>
          <w:tab w:leader="none" w:pos="11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Covered Year</w:t>
      </w:r>
    </w:p>
    <w:p>
      <w:pPr>
        <w:spacing w:after="0" w:line="30" w:lineRule="exact"/>
        <w:rPr>
          <w:rFonts w:ascii="Arial" w:cs="Arial" w:eastAsia="Arial" w:hAnsi="Arial"/>
          <w:sz w:val="15"/>
          <w:szCs w:val="15"/>
          <w:color w:val="auto"/>
        </w:rPr>
      </w:pPr>
    </w:p>
    <w:p>
      <w:pPr>
        <w:ind w:left="1000" w:hanging="197"/>
        <w:spacing w:after="0" w:line="181" w:lineRule="auto"/>
        <w:tabs>
          <w:tab w:leader="none" w:pos="1000" w:val="left"/>
        </w:tabs>
        <w:numPr>
          <w:ilvl w:val="0"/>
          <w:numId w:val="76"/>
        </w:numPr>
        <w:rPr>
          <w:rFonts w:ascii="Arial" w:cs="Arial" w:eastAsia="Arial" w:hAnsi="Arial"/>
          <w:sz w:val="28"/>
          <w:szCs w:val="28"/>
          <w:color w:val="auto"/>
          <w:vertAlign w:val="subscript"/>
        </w:rPr>
      </w:pPr>
      <w:r>
        <w:rPr>
          <w:rFonts w:ascii="Arial" w:cs="Arial" w:eastAsia="Arial" w:hAnsi="Arial"/>
          <w:sz w:val="14"/>
          <w:szCs w:val="14"/>
          <w:color w:val="auto"/>
        </w:rPr>
        <w:t>Pension Service Costs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80" w:type="dxa"/>
            <w:vAlign w:val="bottom"/>
            <w:gridSpan w:val="4"/>
          </w:tcPr>
          <w:p>
            <w:pPr>
              <w:jc w:val="right"/>
              <w:spacing w:after="0"/>
              <w:rPr>
                <w:sz w:val="20"/>
                <w:szCs w:val="20"/>
                <w:color w:val="auto"/>
              </w:rPr>
            </w:pPr>
            <w:r>
              <w:rPr>
                <w:rFonts w:ascii="Arial" w:cs="Arial" w:eastAsia="Arial" w:hAnsi="Arial"/>
                <w:sz w:val="15"/>
                <w:szCs w:val="15"/>
                <w:color w:val="auto"/>
              </w:rPr>
              <w:t>​ ​​$  1,603,299​​</w:t>
            </w:r>
          </w:p>
        </w:tc>
        <w:tc>
          <w:tcPr>
            <w:tcW w:w="1040" w:type="dxa"/>
            <w:vAlign w:val="bottom"/>
            <w:gridSpan w:val="3"/>
          </w:tcPr>
          <w:p>
            <w:pPr>
              <w:jc w:val="right"/>
              <w:spacing w:after="0"/>
              <w:rPr>
                <w:sz w:val="20"/>
                <w:szCs w:val="20"/>
                <w:color w:val="auto"/>
              </w:rPr>
            </w:pPr>
            <w:r>
              <w:rPr>
                <w:rFonts w:ascii="Arial" w:cs="Arial" w:eastAsia="Arial" w:hAnsi="Arial"/>
                <w:sz w:val="15"/>
                <w:szCs w:val="15"/>
                <w:color w:val="auto"/>
              </w:rPr>
              <w:t>​​$  1,999,439​​</w:t>
            </w:r>
          </w:p>
        </w:tc>
        <w:tc>
          <w:tcPr>
            <w:tcW w:w="2080" w:type="dxa"/>
            <w:vAlign w:val="bottom"/>
            <w:gridSpan w:val="5"/>
          </w:tcPr>
          <w:p>
            <w:pPr>
              <w:jc w:val="right"/>
              <w:spacing w:after="0"/>
              <w:rPr>
                <w:sz w:val="20"/>
                <w:szCs w:val="20"/>
                <w:color w:val="auto"/>
              </w:rPr>
            </w:pPr>
            <w:r>
              <w:rPr>
                <w:rFonts w:ascii="Arial" w:cs="Arial" w:eastAsia="Arial" w:hAnsi="Arial"/>
                <w:sz w:val="15"/>
                <w:szCs w:val="15"/>
                <w:color w:val="auto"/>
              </w:rPr>
              <w:t>​​$  2,825,497​​ ​​$  1,742,035​​</w:t>
            </w:r>
          </w:p>
        </w:tc>
        <w:tc>
          <w:tcPr>
            <w:tcW w:w="1040" w:type="dxa"/>
            <w:vAlign w:val="bottom"/>
            <w:gridSpan w:val="3"/>
          </w:tcPr>
          <w:p>
            <w:pPr>
              <w:jc w:val="right"/>
              <w:spacing w:after="0"/>
              <w:rPr>
                <w:sz w:val="20"/>
                <w:szCs w:val="20"/>
                <w:color w:val="auto"/>
              </w:rPr>
            </w:pPr>
            <w:r>
              <w:rPr>
                <w:rFonts w:ascii="Arial" w:cs="Arial" w:eastAsia="Arial" w:hAnsi="Arial"/>
                <w:sz w:val="15"/>
                <w:szCs w:val="15"/>
                <w:color w:val="auto"/>
              </w:rPr>
              <w:t>​​$  2,408,210​​</w:t>
            </w:r>
          </w:p>
        </w:tc>
      </w:tr>
      <w:tr>
        <w:trPr>
          <w:trHeight w:val="251"/>
        </w:trPr>
        <w:tc>
          <w:tcPr>
            <w:tcW w:w="220" w:type="dxa"/>
            <w:vAlign w:val="bottom"/>
            <w:gridSpan w:val="2"/>
          </w:tcPr>
          <w:p>
            <w:pPr>
              <w:spacing w:after="0"/>
              <w:rPr>
                <w:sz w:val="20"/>
                <w:szCs w:val="20"/>
                <w:color w:val="auto"/>
              </w:rPr>
            </w:pPr>
            <w:r>
              <w:rPr>
                <w:rFonts w:ascii="Arial" w:cs="Arial" w:eastAsia="Arial" w:hAnsi="Arial"/>
                <w:sz w:val="15"/>
                <w:szCs w:val="15"/>
                <w:b w:val="1"/>
                <w:bCs w:val="1"/>
                <w:color w:val="auto"/>
              </w:rPr>
              <w:t>​ ​​</w:t>
            </w:r>
          </w:p>
        </w:tc>
        <w:tc>
          <w:tcPr>
            <w:tcW w:w="100" w:type="dxa"/>
            <w:vAlign w:val="bottom"/>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 ​​</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411"/>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935,189​​</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930,032​​</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1,483,250​​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1,135,260​​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1,481,514​​</w:t>
            </w:r>
          </w:p>
        </w:tc>
      </w:tr>
      <w:tr>
        <w:trPr>
          <w:trHeight w:val="621"/>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1,344,060​​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57"/>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 ​​$</w:t>
            </w:r>
          </w:p>
        </w:tc>
        <w:tc>
          <w:tcPr>
            <w:tcW w:w="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51"/>
        </w:trPr>
        <w:tc>
          <w:tcPr>
            <w:tcW w:w="220" w:type="dxa"/>
            <w:vAlign w:val="bottom"/>
            <w:gridSpan w:val="2"/>
          </w:tcPr>
          <w:p>
            <w:pPr>
              <w:spacing w:after="0"/>
              <w:rPr>
                <w:sz w:val="20"/>
                <w:szCs w:val="20"/>
                <w:color w:val="auto"/>
              </w:rPr>
            </w:pPr>
            <w:r>
              <w:rPr>
                <w:rFonts w:ascii="Arial" w:cs="Arial" w:eastAsia="Arial" w:hAnsi="Arial"/>
                <w:sz w:val="15"/>
                <w:szCs w:val="15"/>
                <w:b w:val="1"/>
                <w:bCs w:val="1"/>
                <w:color w:val="auto"/>
              </w:rPr>
              <w:t>​ ​​</w:t>
            </w:r>
          </w:p>
        </w:tc>
        <w:tc>
          <w:tcPr>
            <w:tcW w:w="100" w:type="dxa"/>
            <w:vAlign w:val="bottom"/>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 ​​</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411"/>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600,827​​</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655,677​​</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2,141,235​​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845,162​​</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872,364​​</w:t>
            </w:r>
          </w:p>
        </w:tc>
      </w:tr>
      <w:tr>
        <w:trPr>
          <w:trHeight w:val="445"/>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446"/>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(741,673​​)</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(552,710​​)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365,842​​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(272,162​​)</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318,723​​</w:t>
            </w:r>
          </w:p>
        </w:tc>
      </w:tr>
      <w:tr>
        <w:trPr>
          <w:trHeight w:val="445"/>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(6,770​​)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(99,835​​)</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44,644​​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292,698​​</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845,187​​</w:t>
            </w:r>
          </w:p>
        </w:tc>
      </w:tr>
      <w:tr>
        <w:trPr>
          <w:trHeight w:val="446"/>
        </w:trPr>
        <w:tc>
          <w:tcPr>
            <w:tcW w:w="220" w:type="dxa"/>
            <w:vAlign w:val="bottom"/>
            <w:gridSpan w:val="2"/>
          </w:tcPr>
          <w:p>
            <w:pPr>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63"/>
        </w:trPr>
        <w:tc>
          <w:tcPr>
            <w:tcW w:w="220" w:type="dxa"/>
            <w:vAlign w:val="bottom"/>
            <w:gridSpan w:val="2"/>
          </w:tcPr>
          <w:p>
            <w:pPr>
              <w:spacing w:after="0" w:line="262" w:lineRule="exact"/>
              <w:rPr>
                <w:sz w:val="20"/>
                <w:szCs w:val="20"/>
                <w:color w:val="auto"/>
              </w:rPr>
            </w:pPr>
            <w:r>
              <w:rPr>
                <w:rFonts w:ascii="Arial" w:cs="Arial" w:eastAsia="Arial" w:hAnsi="Arial"/>
                <w:sz w:val="15"/>
                <w:szCs w:val="15"/>
                <w:color w:val="auto"/>
              </w:rPr>
              <w:t>​ ​​</w:t>
            </w:r>
            <w:r>
              <w:rPr>
                <w:rFonts w:ascii="Arial" w:cs="Arial" w:eastAsia="Arial" w:hAnsi="Arial"/>
                <w:sz w:val="30"/>
                <w:szCs w:val="30"/>
                <w:color w:val="auto"/>
                <w:vertAlign w:val="superscript"/>
              </w:rPr>
              <w:t>$</w:t>
            </w:r>
          </w:p>
        </w:tc>
        <w:tc>
          <w:tcPr>
            <w:tcW w:w="100" w:type="dxa"/>
            <w:vAlign w:val="bottom"/>
          </w:tcPr>
          <w:p>
            <w:pPr>
              <w:spacing w:after="0"/>
              <w:rPr>
                <w:sz w:val="22"/>
                <w:szCs w:val="22"/>
                <w:color w:val="auto"/>
              </w:rPr>
            </w:pPr>
          </w:p>
        </w:tc>
        <w:tc>
          <w:tcPr>
            <w:tcW w:w="760" w:type="dxa"/>
            <w:vAlign w:val="bottom"/>
          </w:tcPr>
          <w:p>
            <w:pPr>
              <w:jc w:val="right"/>
              <w:spacing w:after="0" w:line="262"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p>
        </w:tc>
        <w:tc>
          <w:tcPr>
            <w:tcW w:w="160" w:type="dxa"/>
            <w:vAlign w:val="bottom"/>
          </w:tcPr>
          <w:p>
            <w:pPr>
              <w:ind w:left="20"/>
              <w:spacing w:after="0" w:line="262" w:lineRule="exact"/>
              <w:rPr>
                <w:sz w:val="20"/>
                <w:szCs w:val="20"/>
                <w:color w:val="auto"/>
              </w:rPr>
            </w:pP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100" w:type="dxa"/>
            <w:vAlign w:val="bottom"/>
          </w:tcPr>
          <w:p>
            <w:pPr>
              <w:spacing w:after="0"/>
              <w:rPr>
                <w:sz w:val="22"/>
                <w:szCs w:val="22"/>
                <w:color w:val="auto"/>
              </w:rPr>
            </w:pPr>
          </w:p>
        </w:tc>
        <w:tc>
          <w:tcPr>
            <w:tcW w:w="780" w:type="dxa"/>
            <w:vAlign w:val="bottom"/>
          </w:tcPr>
          <w:p>
            <w:pPr>
              <w:jc w:val="right"/>
              <w:spacing w:after="0" w:line="262"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p>
        </w:tc>
        <w:tc>
          <w:tcPr>
            <w:tcW w:w="160" w:type="dxa"/>
            <w:vAlign w:val="bottom"/>
          </w:tcPr>
          <w:p>
            <w:pPr>
              <w:ind w:left="20"/>
              <w:spacing w:after="0" w:line="262" w:lineRule="exact"/>
              <w:rPr>
                <w:sz w:val="20"/>
                <w:szCs w:val="20"/>
                <w:color w:val="auto"/>
              </w:rPr>
            </w:pP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60" w:type="dxa"/>
            <w:vAlign w:val="bottom"/>
          </w:tcPr>
          <w:p>
            <w:pPr>
              <w:spacing w:after="0"/>
              <w:rPr>
                <w:sz w:val="22"/>
                <w:szCs w:val="22"/>
                <w:color w:val="auto"/>
              </w:rPr>
            </w:pPr>
          </w:p>
        </w:tc>
        <w:tc>
          <w:tcPr>
            <w:tcW w:w="980" w:type="dxa"/>
            <w:vAlign w:val="bottom"/>
          </w:tcPr>
          <w:p>
            <w:pPr>
              <w:jc w:val="right"/>
              <w:spacing w:after="0" w:line="262"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 ​​</w:t>
            </w:r>
            <w:r>
              <w:rPr>
                <w:rFonts w:ascii="Arial" w:cs="Arial" w:eastAsia="Arial" w:hAnsi="Arial"/>
                <w:sz w:val="30"/>
                <w:szCs w:val="30"/>
                <w:color w:val="auto"/>
                <w:vertAlign w:val="superscript"/>
              </w:rPr>
              <w:t>$</w:t>
            </w:r>
          </w:p>
        </w:tc>
        <w:tc>
          <w:tcPr>
            <w:tcW w:w="60" w:type="dxa"/>
            <w:vAlign w:val="bottom"/>
          </w:tcPr>
          <w:p>
            <w:pPr>
              <w:spacing w:after="0"/>
              <w:rPr>
                <w:sz w:val="22"/>
                <w:szCs w:val="22"/>
                <w:color w:val="auto"/>
              </w:rPr>
            </w:pPr>
          </w:p>
        </w:tc>
        <w:tc>
          <w:tcPr>
            <w:tcW w:w="820" w:type="dxa"/>
            <w:vAlign w:val="bottom"/>
          </w:tcPr>
          <w:p>
            <w:pPr>
              <w:jc w:val="right"/>
              <w:spacing w:after="0" w:line="262"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p>
        </w:tc>
        <w:tc>
          <w:tcPr>
            <w:tcW w:w="160" w:type="dxa"/>
            <w:vAlign w:val="bottom"/>
          </w:tcPr>
          <w:p>
            <w:pPr>
              <w:spacing w:after="0" w:line="262" w:lineRule="exact"/>
              <w:rPr>
                <w:sz w:val="20"/>
                <w:szCs w:val="20"/>
                <w:color w:val="auto"/>
              </w:rPr>
            </w:pPr>
            <w:r>
              <w:rPr>
                <w:rFonts w:ascii="Arial" w:cs="Arial" w:eastAsia="Arial" w:hAnsi="Arial"/>
                <w:sz w:val="15"/>
                <w:szCs w:val="15"/>
                <w:color w:val="auto"/>
              </w:rPr>
              <w:t>​​</w:t>
            </w:r>
            <w:r>
              <w:rPr>
                <w:rFonts w:ascii="Arial" w:cs="Arial" w:eastAsia="Arial" w:hAnsi="Arial"/>
                <w:sz w:val="30"/>
                <w:szCs w:val="30"/>
                <w:color w:val="auto"/>
                <w:vertAlign w:val="superscript"/>
              </w:rPr>
              <w:t>$</w:t>
            </w:r>
          </w:p>
        </w:tc>
        <w:tc>
          <w:tcPr>
            <w:tcW w:w="60" w:type="dxa"/>
            <w:vAlign w:val="bottom"/>
          </w:tcPr>
          <w:p>
            <w:pPr>
              <w:spacing w:after="0"/>
              <w:rPr>
                <w:sz w:val="22"/>
                <w:szCs w:val="22"/>
                <w:color w:val="auto"/>
              </w:rPr>
            </w:pPr>
          </w:p>
        </w:tc>
        <w:tc>
          <w:tcPr>
            <w:tcW w:w="820" w:type="dxa"/>
            <w:vAlign w:val="bottom"/>
          </w:tcPr>
          <w:p>
            <w:pPr>
              <w:jc w:val="right"/>
              <w:spacing w:after="0" w:line="262" w:lineRule="exact"/>
              <w:rPr>
                <w:sz w:val="20"/>
                <w:szCs w:val="20"/>
                <w:color w:val="auto"/>
              </w:rPr>
            </w:pPr>
            <w:r>
              <w:rPr>
                <w:rFonts w:ascii="Arial" w:cs="Arial" w:eastAsia="Arial" w:hAnsi="Arial"/>
                <w:sz w:val="30"/>
                <w:szCs w:val="30"/>
                <w:color w:val="auto"/>
                <w:vertAlign w:val="superscript"/>
              </w:rPr>
              <w:t>0</w:t>
            </w:r>
            <w:r>
              <w:rPr>
                <w:rFonts w:ascii="Arial" w:cs="Arial" w:eastAsia="Arial" w:hAnsi="Arial"/>
                <w:sz w:val="15"/>
                <w:szCs w:val="15"/>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-2562860</wp:posOffset>
            </wp:positionV>
            <wp:extent cx="5837555"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-1893570</wp:posOffset>
            </wp:positionV>
            <wp:extent cx="583755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-1585595</wp:posOffset>
            </wp:positionV>
            <wp:extent cx="5837555"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37555" cy="27432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-1028065</wp:posOffset>
            </wp:positionV>
            <wp:extent cx="5837555" cy="283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37555" cy="28321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-462280</wp:posOffset>
            </wp:positionV>
            <wp:extent cx="5837555" cy="283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37555" cy="28321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-7620</wp:posOffset>
            </wp:positionV>
            <wp:extent cx="583755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4580" w:space="140"/>
            <w:col w:w="5280"/>
          </w:cols>
          <w:pgMar w:left="580" w:top="97" w:right="1319" w:bottom="1440" w:gutter="0" w:footer="0" w:header="0"/>
          <w:type w:val="continuous"/>
        </w:sectPr>
      </w:pPr>
    </w:p>
    <w:p>
      <w:pPr>
        <w:ind w:left="800"/>
        <w:spacing w:after="0"/>
        <w:tabs>
          <w:tab w:leader="none" w:pos="4700" w:val="left"/>
          <w:tab w:leader="none" w:pos="5140" w:val="left"/>
          <w:tab w:leader="none" w:pos="8240" w:val="left"/>
        </w:tabs>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Compensation Actually Paid</w:t>
      </w:r>
      <w:r>
        <w:rPr>
          <w:sz w:val="20"/>
          <w:szCs w:val="20"/>
          <w:color w:val="auto"/>
        </w:rPr>
        <w:tab/>
      </w:r>
      <w:r>
        <w:rPr>
          <w:rFonts w:ascii="Arial" w:cs="Arial" w:eastAsia="Arial" w:hAnsi="Arial"/>
          <w:sz w:val="15"/>
          <w:szCs w:val="15"/>
          <w:color w:val="auto"/>
        </w:rPr>
        <w:t>​ ​​$</w:t>
        <w:tab/>
        <w:t>520,494​​ ​​$ 1,072,539​​ ​​$ 3,893,968​​ ​​$</w:t>
        <w:tab/>
        <w:t>128,413​​ ​​$ 2,962,970​​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22860</wp:posOffset>
            </wp:positionV>
            <wp:extent cx="58375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Important Financial Metrics</w:t>
      </w:r>
    </w:p>
    <w:p>
      <w:pPr>
        <w:spacing w:after="0" w:line="149" w:lineRule="exact"/>
        <w:rPr>
          <w:sz w:val="20"/>
          <w:szCs w:val="20"/>
          <w:color w:val="auto"/>
        </w:rPr>
      </w:pPr>
    </w:p>
    <w:p>
      <w:pPr>
        <w:jc w:val="both"/>
        <w:ind w:left="760" w:right="40"/>
        <w:spacing w:after="0" w:line="279" w:lineRule="auto"/>
        <w:rPr>
          <w:sz w:val="20"/>
          <w:szCs w:val="20"/>
          <w:color w:val="auto"/>
        </w:rPr>
      </w:pPr>
      <w:r>
        <w:rPr>
          <w:rFonts w:ascii="Arial" w:cs="Arial" w:eastAsia="Arial" w:hAnsi="Arial"/>
          <w:sz w:val="16"/>
          <w:szCs w:val="16"/>
          <w:color w:val="auto"/>
        </w:rPr>
        <w:t>As described in “Compensation Discussion and Analysis,” our executive compensation program is designed to, among other objectives, link pay to the achievement of annual performance objectives, recognize both corporate and individual performance, and attract and retain our senior executives. We believe the four items in the unranked list below represent the most important financial metrics we used to link our performance to compensation actually paid to our CEO and other NEOs for fiscal year 2025, as further described above under “Compensation Discussion and Analysis — Annual Cash Incentive Compensation” and “Compensation Discussion and Analysis — Long-Term Incentive Compensation.”</w:t>
      </w:r>
    </w:p>
    <w:p>
      <w:pPr>
        <w:spacing w:after="0" w:line="94" w:lineRule="exact"/>
        <w:rPr>
          <w:sz w:val="20"/>
          <w:szCs w:val="20"/>
          <w:color w:val="auto"/>
        </w:rPr>
      </w:pPr>
    </w:p>
    <w:p>
      <w:pPr>
        <w:ind w:left="940" w:hanging="178"/>
        <w:spacing w:after="0"/>
        <w:tabs>
          <w:tab w:leader="none" w:pos="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Adjusted EBITDA</w:t>
      </w:r>
    </w:p>
    <w:p>
      <w:pPr>
        <w:spacing w:after="0" w:line="140" w:lineRule="exact"/>
        <w:rPr>
          <w:rFonts w:ascii="Arial" w:cs="Arial" w:eastAsia="Arial" w:hAnsi="Arial"/>
          <w:sz w:val="16"/>
          <w:szCs w:val="16"/>
          <w:color w:val="auto"/>
        </w:rPr>
      </w:pPr>
    </w:p>
    <w:p>
      <w:pPr>
        <w:ind w:left="940" w:hanging="178"/>
        <w:spacing w:after="0"/>
        <w:tabs>
          <w:tab w:leader="none" w:pos="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Acima Segment Revenue</w:t>
      </w:r>
    </w:p>
    <w:p>
      <w:pPr>
        <w:spacing w:after="0" w:line="140" w:lineRule="exact"/>
        <w:rPr>
          <w:rFonts w:ascii="Arial" w:cs="Arial" w:eastAsia="Arial" w:hAnsi="Arial"/>
          <w:sz w:val="16"/>
          <w:szCs w:val="16"/>
          <w:color w:val="auto"/>
        </w:rPr>
      </w:pPr>
    </w:p>
    <w:p>
      <w:pPr>
        <w:ind w:left="940" w:hanging="178"/>
        <w:spacing w:after="0"/>
        <w:tabs>
          <w:tab w:leader="none" w:pos="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Rent-A-Center Segment Revenue</w:t>
      </w:r>
    </w:p>
    <w:p>
      <w:pPr>
        <w:spacing w:after="0" w:line="153" w:lineRule="exact"/>
        <w:rPr>
          <w:rFonts w:ascii="Arial" w:cs="Arial" w:eastAsia="Arial" w:hAnsi="Arial"/>
          <w:sz w:val="16"/>
          <w:szCs w:val="16"/>
          <w:color w:val="auto"/>
        </w:rPr>
      </w:pPr>
    </w:p>
    <w:p>
      <w:pPr>
        <w:ind w:left="940" w:hanging="178"/>
        <w:spacing w:after="0"/>
        <w:tabs>
          <w:tab w:leader="none" w:pos="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pacing w:after="0" w:line="216" w:lineRule="exact"/>
        <w:rPr>
          <w:sz w:val="20"/>
          <w:szCs w:val="20"/>
          <w:color w:val="auto"/>
        </w:rPr>
      </w:pPr>
    </w:p>
    <w:p>
      <w:pPr>
        <w:ind w:left="760" w:right="340"/>
        <w:spacing w:after="0" w:line="296" w:lineRule="auto"/>
        <w:rPr>
          <w:sz w:val="20"/>
          <w:szCs w:val="20"/>
          <w:color w:val="auto"/>
        </w:rPr>
      </w:pPr>
      <w:r>
        <w:rPr>
          <w:rFonts w:ascii="Arial" w:cs="Arial" w:eastAsia="Arial" w:hAnsi="Arial"/>
          <w:sz w:val="18"/>
          <w:szCs w:val="18"/>
          <w:b w:val="1"/>
          <w:bCs w:val="1"/>
          <w:color w:val="auto"/>
        </w:rPr>
        <w:t>Relationships Between Compensation Actually Paid and Financial Measures in Pay Versus Performance Table</w:t>
      </w:r>
    </w:p>
    <w:p>
      <w:pPr>
        <w:spacing w:after="0" w:line="75" w:lineRule="exact"/>
        <w:rPr>
          <w:sz w:val="20"/>
          <w:szCs w:val="20"/>
          <w:color w:val="auto"/>
        </w:rPr>
      </w:pPr>
    </w:p>
    <w:p>
      <w:pPr>
        <w:jc w:val="both"/>
        <w:ind w:left="760" w:right="40"/>
        <w:spacing w:after="0" w:line="288" w:lineRule="auto"/>
        <w:rPr>
          <w:sz w:val="20"/>
          <w:szCs w:val="20"/>
          <w:color w:val="auto"/>
        </w:rPr>
      </w:pPr>
      <w:r>
        <w:rPr>
          <w:rFonts w:ascii="Arial" w:cs="Arial" w:eastAsia="Arial" w:hAnsi="Arial"/>
          <w:sz w:val="16"/>
          <w:szCs w:val="16"/>
          <w:color w:val="auto"/>
        </w:rPr>
        <w:t>In accordance with Item 402(v) of Regulation S-K, we are providing the following graphic descriptions of the relationships between (i) compensation actually paid (as defined by SEC rules) to our CEO and average compensation actually paid to our other named executive officers and (ii) the Company performance measures presented in the pay versus performance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58</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Total Shareholder Return</w:t>
      </w:r>
    </w:p>
    <w:p>
      <w:pPr>
        <w:spacing w:after="0" w:line="149" w:lineRule="exact"/>
        <w:rPr>
          <w:sz w:val="20"/>
          <w:szCs w:val="20"/>
          <w:color w:val="auto"/>
        </w:rPr>
      </w:pPr>
    </w:p>
    <w:p>
      <w:pPr>
        <w:ind w:left="760" w:right="40"/>
        <w:spacing w:after="0" w:line="321" w:lineRule="auto"/>
        <w:rPr>
          <w:sz w:val="20"/>
          <w:szCs w:val="20"/>
          <w:color w:val="auto"/>
        </w:rPr>
      </w:pPr>
      <w:r>
        <w:rPr>
          <w:rFonts w:ascii="Arial" w:cs="Arial" w:eastAsia="Arial" w:hAnsi="Arial"/>
          <w:sz w:val="16"/>
          <w:szCs w:val="16"/>
          <w:color w:val="auto"/>
        </w:rPr>
        <w:t>The following chart sets forth the compensation actually paid to our CEO, the average of compensation actually paid to our Non-CEO NEOs, the Company’s cumulative TSR and the peer group’s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90805</wp:posOffset>
            </wp:positionV>
            <wp:extent cx="5220335" cy="2922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2033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Income</w:t>
      </w:r>
    </w:p>
    <w:p>
      <w:pPr>
        <w:spacing w:after="0" w:line="162" w:lineRule="exact"/>
        <w:rPr>
          <w:sz w:val="20"/>
          <w:szCs w:val="20"/>
          <w:color w:val="auto"/>
        </w:rPr>
      </w:pPr>
    </w:p>
    <w:p>
      <w:pPr>
        <w:ind w:left="760" w:right="40"/>
        <w:spacing w:after="0" w:line="304" w:lineRule="auto"/>
        <w:rPr>
          <w:sz w:val="20"/>
          <w:szCs w:val="20"/>
          <w:color w:val="auto"/>
        </w:rPr>
      </w:pPr>
      <w:r>
        <w:rPr>
          <w:rFonts w:ascii="Arial" w:cs="Arial" w:eastAsia="Arial" w:hAnsi="Arial"/>
          <w:sz w:val="16"/>
          <w:szCs w:val="16"/>
          <w:color w:val="auto"/>
        </w:rPr>
        <w:t>The following chart sets forth the compensation actually paid to our CEO, the average of compensation actually paid to our Non-CEO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99060</wp:posOffset>
            </wp:positionV>
            <wp:extent cx="5220335" cy="2854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2033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TABLES</w:t>
      </w:r>
    </w:p>
    <w:p>
      <w:pPr>
        <w:spacing w:after="0" w:line="36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Adjusted EBITDA</w:t>
      </w:r>
    </w:p>
    <w:p>
      <w:pPr>
        <w:spacing w:after="0" w:line="149" w:lineRule="exact"/>
        <w:rPr>
          <w:sz w:val="20"/>
          <w:szCs w:val="20"/>
          <w:color w:val="auto"/>
        </w:rPr>
      </w:pPr>
    </w:p>
    <w:p>
      <w:pPr>
        <w:ind w:left="760" w:firstLine="360"/>
        <w:spacing w:after="0" w:line="271" w:lineRule="auto"/>
        <w:rPr>
          <w:sz w:val="20"/>
          <w:szCs w:val="20"/>
          <w:color w:val="auto"/>
        </w:rPr>
      </w:pPr>
      <w:r>
        <w:rPr>
          <w:rFonts w:ascii="Arial" w:cs="Arial" w:eastAsia="Arial" w:hAnsi="Arial"/>
          <w:sz w:val="16"/>
          <w:szCs w:val="16"/>
          <w:color w:val="auto"/>
        </w:rPr>
        <w:t>The following chart sets forth the compensation actually paid to our CEO, the average of compensation actually paid to our Non-CEO NEOs, and our Adjusted EBITDA</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48260</wp:posOffset>
            </wp:positionV>
            <wp:extent cx="5220335" cy="28543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2033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20" w:hanging="358"/>
        <w:spacing w:after="0" w:line="302" w:lineRule="auto"/>
        <w:tabs>
          <w:tab w:leader="none" w:pos="11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Non-GAAP financial measure. See </w:t>
      </w:r>
      <w:r>
        <w:rPr>
          <w:rFonts w:ascii="Arial" w:cs="Arial" w:eastAsia="Arial" w:hAnsi="Arial"/>
          <w:sz w:val="14"/>
          <w:szCs w:val="14"/>
          <w:i w:val="1"/>
          <w:iCs w:val="1"/>
          <w:u w:val="single" w:color="auto"/>
          <w:color w:val="auto"/>
        </w:rPr>
        <w:t>Annex A</w:t>
      </w:r>
      <w:r>
        <w:rPr>
          <w:rFonts w:ascii="Arial" w:cs="Arial" w:eastAsia="Arial" w:hAnsi="Arial"/>
          <w:sz w:val="14"/>
          <w:szCs w:val="14"/>
          <w:i w:val="1"/>
          <w:iCs w:val="1"/>
          <w:color w:val="auto"/>
        </w:rPr>
        <w:t xml:space="preserve"> for additional information regarding non-GAAP financial measures and reconciliations of non-GAAP financial measures to their most directly comparable GAAP financial measure.</w:t>
      </w:r>
    </w:p>
    <w:p>
      <w:pPr>
        <w:spacing w:after="0" w:line="158" w:lineRule="exact"/>
        <w:rPr>
          <w:sz w:val="20"/>
          <w:szCs w:val="20"/>
          <w:color w:val="auto"/>
        </w:rPr>
      </w:pPr>
    </w:p>
    <w:p>
      <w:pPr>
        <w:ind w:left="760" w:right="240"/>
        <w:spacing w:after="0" w:line="287" w:lineRule="auto"/>
        <w:rPr>
          <w:sz w:val="20"/>
          <w:szCs w:val="20"/>
          <w:color w:val="auto"/>
        </w:rPr>
      </w:pPr>
      <w:r>
        <w:rPr>
          <w:rFonts w:ascii="Arial" w:cs="Arial" w:eastAsia="Arial" w:hAnsi="Arial"/>
          <w:sz w:val="25"/>
          <w:szCs w:val="25"/>
          <w:b w:val="1"/>
          <w:bCs w:val="1"/>
          <w:color w:val="auto"/>
        </w:rPr>
        <w:t>Policies and Practices Related to the Grant of Certain Equity Awards Close in Time to the Release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-43180</wp:posOffset>
            </wp:positionV>
            <wp:extent cx="58375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26"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The Compensation Committee determines the timing of the annual grants of equity awards to our named executive officers as well as the terms and restrictions applicable to such grants. The Compensation Committee approves, generally in February of each year, the annual grant to our executive officers in conjunction with its review and determination of each executive officer’s compensation for the current year. Grants may also be made in connection with commencement of employment or promotions. Annual grants are typically made on the second business day following fourth quarter earnings disclosures. We do not currently grant new awards of stock options, stock appreciation rights or similar option-like instruments. Accordingly, we do not have a specific policy or practice on the timing of such awards in relation to our disclosure of material nonpublic information. In the event we determine to grant such awards, we will evaluate the appropriate steps to take in relation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60</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99"/>
        <w:spacing w:after="0"/>
        <w:rPr>
          <w:sz w:val="20"/>
          <w:szCs w:val="20"/>
          <w:color w:val="auto"/>
        </w:rPr>
      </w:pPr>
      <w:r>
        <w:rPr>
          <w:rFonts w:ascii="Arial" w:cs="Arial" w:eastAsia="Arial" w:hAnsi="Arial"/>
          <w:sz w:val="40"/>
          <w:szCs w:val="40"/>
          <w:b w:val="1"/>
          <w:bCs w:val="1"/>
          <w:color w:val="auto"/>
        </w:rPr>
        <w:t>PROPOSAL THREE:</w:t>
      </w:r>
    </w:p>
    <w:p>
      <w:pPr>
        <w:jc w:val="center"/>
        <w:ind w:right="-699"/>
        <w:spacing w:after="0" w:line="231" w:lineRule="auto"/>
        <w:rPr>
          <w:sz w:val="20"/>
          <w:szCs w:val="20"/>
          <w:color w:val="auto"/>
        </w:rPr>
      </w:pPr>
      <w:r>
        <w:rPr>
          <w:rFonts w:ascii="Arial" w:cs="Arial" w:eastAsia="Arial" w:hAnsi="Arial"/>
          <w:sz w:val="40"/>
          <w:szCs w:val="40"/>
          <w:b w:val="1"/>
          <w:bCs w:val="1"/>
          <w:color w:val="auto"/>
        </w:rPr>
        <w:t>ADVISORY VOTE ON EXECUTIVE</w:t>
      </w:r>
    </w:p>
    <w:p>
      <w:pPr>
        <w:spacing w:after="0" w:line="1" w:lineRule="exact"/>
        <w:rPr>
          <w:sz w:val="20"/>
          <w:szCs w:val="20"/>
          <w:color w:val="auto"/>
        </w:rPr>
      </w:pPr>
    </w:p>
    <w:p>
      <w:pPr>
        <w:jc w:val="center"/>
        <w:ind w:right="-779"/>
        <w:spacing w:after="0"/>
        <w:rPr>
          <w:sz w:val="20"/>
          <w:szCs w:val="20"/>
          <w:color w:val="auto"/>
        </w:rPr>
      </w:pPr>
      <w:r>
        <w:rPr>
          <w:rFonts w:ascii="Arial" w:cs="Arial" w:eastAsia="Arial" w:hAnsi="Arial"/>
          <w:sz w:val="40"/>
          <w:szCs w:val="40"/>
          <w:b w:val="1"/>
          <w:bCs w:val="1"/>
          <w:color w:val="auto"/>
        </w:rPr>
        <w:t>COMPENSATION</w:t>
      </w:r>
    </w:p>
    <w:p>
      <w:pPr>
        <w:spacing w:after="0" w:line="100"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In accordance with the Dodd-Frank Wall Street Reform and Consumer Protection Act, we are seeking stockholder approval of our executive compensation program and practices as disclosed in this proxy statement. As described above in the “Compensation Discussion and Analysis” section of this proxy statement, the Compensation Committee has structured our executive compensation program to achieve the following key objectives:</w:t>
      </w:r>
    </w:p>
    <w:p>
      <w:pPr>
        <w:spacing w:after="0" w:line="73" w:lineRule="exact"/>
        <w:rPr>
          <w:sz w:val="20"/>
          <w:szCs w:val="20"/>
          <w:color w:val="auto"/>
        </w:rPr>
      </w:pPr>
    </w:p>
    <w:p>
      <w:pPr>
        <w:ind w:left="940" w:hanging="178"/>
        <w:spacing w:after="0"/>
        <w:tabs>
          <w:tab w:leader="none" w:pos="9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attract, retain and motivate senior executives with competitive compensation opportunities;</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incentivize our executives to achieve our short-term and long-term strategic goals;</w:t>
      </w:r>
    </w:p>
    <w:p>
      <w:pPr>
        <w:spacing w:after="0" w:line="113" w:lineRule="exact"/>
        <w:rPr>
          <w:rFonts w:ascii="Arial" w:cs="Arial" w:eastAsia="Arial" w:hAnsi="Arial"/>
          <w:sz w:val="16"/>
          <w:szCs w:val="16"/>
          <w:color w:val="auto"/>
        </w:rPr>
      </w:pPr>
    </w:p>
    <w:p>
      <w:pPr>
        <w:ind w:left="940" w:hanging="178"/>
        <w:spacing w:after="0"/>
        <w:tabs>
          <w:tab w:leader="none" w:pos="9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align our executive compensation program with the core values identified in our corporate mission statement;</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reward achievement of our financial and non-financial business goals; and</w:t>
      </w:r>
    </w:p>
    <w:p>
      <w:pPr>
        <w:spacing w:after="0" w:line="126" w:lineRule="exact"/>
        <w:rPr>
          <w:rFonts w:ascii="Arial" w:cs="Arial" w:eastAsia="Arial" w:hAnsi="Arial"/>
          <w:sz w:val="16"/>
          <w:szCs w:val="16"/>
          <w:color w:val="auto"/>
        </w:rPr>
      </w:pPr>
    </w:p>
    <w:p>
      <w:pPr>
        <w:ind w:left="940" w:hanging="178"/>
        <w:spacing w:after="0"/>
        <w:tabs>
          <w:tab w:leader="none" w:pos="9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align executive interests with those of our stockholders.</w:t>
      </w:r>
    </w:p>
    <w:p>
      <w:pPr>
        <w:spacing w:after="0" w:line="154"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We urge stockholders to read the section “Compensation Discussion and Analysis” above in this proxy statement, which describes in more detail how our executive compensation policies and procedures operate and are designed to achieve our compensation objectives, as well as the compensation tables and related narrative disclosures in the section “Compensation Tables” above in this proxy statement, which provide detailed information on the compensation of our named executive officers. The Compensation Committee and the Board believe that the policies and procedures articulated in the “Compensation Discussion and Analysis” are effective in achieving our goals and that the compensation of our named executive officers reported in this proxy statement has contributed to our recent and long-term success.</w:t>
      </w:r>
    </w:p>
    <w:p>
      <w:pPr>
        <w:spacing w:after="0" w:line="109" w:lineRule="exact"/>
        <w:rPr>
          <w:sz w:val="20"/>
          <w:szCs w:val="20"/>
          <w:color w:val="auto"/>
        </w:rPr>
      </w:pPr>
    </w:p>
    <w:p>
      <w:pPr>
        <w:jc w:val="both"/>
        <w:ind w:left="760"/>
        <w:spacing w:after="0" w:line="304"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2026 Annual Meeting:</w:t>
      </w:r>
    </w:p>
    <w:p>
      <w:pPr>
        <w:spacing w:after="0" w:line="74"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“RESOLVED, that the stockholders of Upbound Group, Inc. (the “Company”) approve, on an advisory basis, the compensation of the Company’s named executive officers for the year ended December 31, 2025, as disclosed in the 2026 Proxy Statement pursuant to the compensation disclosure rules of the Securities and Exchange Commission (including Item 402 of Regulation S-K), including the Compensation Discussion and Analysis, the Summary Compensation Table and the other related tables and narrative disclosure.”</w:t>
      </w:r>
    </w:p>
    <w:p>
      <w:pPr>
        <w:spacing w:after="0" w:line="103"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This advisory resolution, commonly referred to as a “say-on-pay” resolution, is non-binding on the Board. Although non-binding, the Board and the Compensation Committee will carefully take into account the outcome of the vote when considering future compensation arrangements for our named executive officers.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Our Board recommends that you vote “FOR” approval of the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99"/>
        <w:spacing w:after="0"/>
        <w:rPr>
          <w:sz w:val="20"/>
          <w:szCs w:val="20"/>
          <w:color w:val="auto"/>
        </w:rPr>
      </w:pPr>
      <w:r>
        <w:rPr>
          <w:rFonts w:ascii="Arial" w:cs="Arial" w:eastAsia="Arial" w:hAnsi="Arial"/>
          <w:sz w:val="40"/>
          <w:szCs w:val="40"/>
          <w:b w:val="1"/>
          <w:bCs w:val="1"/>
          <w:color w:val="auto"/>
        </w:rPr>
        <w:t>PROPOSAL FOUR:</w:t>
      </w:r>
    </w:p>
    <w:p>
      <w:pPr>
        <w:spacing w:after="0" w:line="12" w:lineRule="exact"/>
        <w:rPr>
          <w:sz w:val="20"/>
          <w:szCs w:val="20"/>
          <w:color w:val="auto"/>
        </w:rPr>
      </w:pPr>
    </w:p>
    <w:p>
      <w:pPr>
        <w:ind w:left="820" w:right="40" w:hanging="14"/>
        <w:spacing w:after="0" w:line="287" w:lineRule="auto"/>
        <w:rPr>
          <w:sz w:val="20"/>
          <w:szCs w:val="20"/>
          <w:color w:val="auto"/>
        </w:rPr>
      </w:pPr>
      <w:r>
        <w:rPr>
          <w:rFonts w:ascii="Arial" w:cs="Arial" w:eastAsia="Arial" w:hAnsi="Arial"/>
          <w:sz w:val="36"/>
          <w:szCs w:val="36"/>
          <w:b w:val="1"/>
          <w:bCs w:val="1"/>
          <w:color w:val="auto"/>
        </w:rPr>
        <w:t>ADVISORY VOTE ON THE FREQUENCY OF FUTURE ADVISORY VOTES ON EXECUTIVE COMPENSATION</w:t>
      </w:r>
    </w:p>
    <w:p>
      <w:pPr>
        <w:spacing w:after="0" w:line="2"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In accordance with the Dodd-Frank Wall Street Reform and Consumer Protection Act, we are providing our stockholders with the opportunity to cast a non-binding vote to determine whether the stockholder approval of our executive compensation program and practices, as described in Proposal Three, should occur every year, every two years, or every three years.</w:t>
      </w:r>
    </w:p>
    <w:p>
      <w:pPr>
        <w:spacing w:after="0" w:line="89" w:lineRule="exact"/>
        <w:rPr>
          <w:sz w:val="20"/>
          <w:szCs w:val="20"/>
          <w:color w:val="auto"/>
        </w:rPr>
      </w:pPr>
    </w:p>
    <w:p>
      <w:pPr>
        <w:jc w:val="both"/>
        <w:ind w:left="760"/>
        <w:spacing w:after="0" w:line="269" w:lineRule="auto"/>
        <w:rPr>
          <w:sz w:val="20"/>
          <w:szCs w:val="20"/>
          <w:color w:val="auto"/>
        </w:rPr>
      </w:pPr>
      <w:r>
        <w:rPr>
          <w:rFonts w:ascii="Arial" w:cs="Arial" w:eastAsia="Arial" w:hAnsi="Arial"/>
          <w:sz w:val="16"/>
          <w:szCs w:val="16"/>
          <w:color w:val="auto"/>
        </w:rPr>
        <w:t>The Board has determined that holding an advisory vote on executive compensation every year is the most appropriate policy for the Company at this time and recommends that stockholders vote for future advisory votes on executive compensation to occur every year. While our executive compensation programs are designed to promote a long-term connection between pay and performance, holding an annual advisory vote on executive compensation provides the Board with more direct and immediate feedback on our executive compensation philosophy, policies and practices.</w:t>
      </w:r>
    </w:p>
    <w:p>
      <w:pPr>
        <w:spacing w:after="0" w:line="103"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vote for their preferred voting frequency by choosing the option of one year, two years, three years or abstention when voting in response to the following advisory resolution at the 2026 Annual Meeting:</w:t>
      </w:r>
    </w:p>
    <w:p>
      <w:pPr>
        <w:spacing w:after="0" w:line="110"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“RESOLVED, that the stockholder advisory vote on executive compensation take place once every one year, two years or three years, with such frequency to be determined by the affirmative vote of the holders of a majority in voting power of the shares of common stock present or represented by proxy and entitled to vote thereon. In the event that no option receives a majority of the votes cast, the Board will consider the option of one year, two years or three years that receives the most votes at the 2026 Annual Meeting as the recommended choice of the Company’s stockholders.”</w:t>
      </w:r>
    </w:p>
    <w:p>
      <w:pPr>
        <w:spacing w:after="0" w:line="118"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Although non-binding, the Board and the Compensation Committee will carefully review the voting results of this Proposal Four. Notwithstanding the outcome of the stockholder vote, the Board may in the future decide to conduct advisory votes on a more or less frequent basis and may vary its practice based on factors such as discussions with stockholders and the adoption of material changes to the compensation programs of the Company.</w:t>
      </w:r>
    </w:p>
    <w:p>
      <w:pPr>
        <w:spacing w:after="0" w:line="100" w:lineRule="exact"/>
        <w:rPr>
          <w:sz w:val="20"/>
          <w:szCs w:val="20"/>
          <w:color w:val="auto"/>
        </w:rPr>
      </w:pPr>
    </w:p>
    <w:p>
      <w:pPr>
        <w:jc w:val="both"/>
        <w:ind w:left="760"/>
        <w:spacing w:after="0" w:line="314" w:lineRule="auto"/>
        <w:rPr>
          <w:sz w:val="20"/>
          <w:szCs w:val="20"/>
          <w:color w:val="auto"/>
        </w:rPr>
      </w:pPr>
      <w:r>
        <w:rPr>
          <w:rFonts w:ascii="Arial" w:cs="Arial" w:eastAsia="Arial" w:hAnsi="Arial"/>
          <w:sz w:val="16"/>
          <w:szCs w:val="16"/>
          <w:b w:val="1"/>
          <w:bCs w:val="1"/>
          <w:color w:val="auto"/>
        </w:rPr>
        <w:t>Our Board recommends that you vote to hold the advisory vote on executive compensation every ONE YEAR (annually) until the Board next solicits stockholder input on the frequency of such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62</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99"/>
        <w:spacing w:after="0"/>
        <w:rPr>
          <w:sz w:val="20"/>
          <w:szCs w:val="20"/>
          <w:color w:val="auto"/>
        </w:rPr>
      </w:pPr>
      <w:r>
        <w:rPr>
          <w:rFonts w:ascii="Arial" w:cs="Arial" w:eastAsia="Arial" w:hAnsi="Arial"/>
          <w:sz w:val="40"/>
          <w:szCs w:val="40"/>
          <w:b w:val="1"/>
          <w:bCs w:val="1"/>
          <w:color w:val="auto"/>
        </w:rPr>
        <w:t>PROPOSAL FIVE:</w:t>
      </w:r>
    </w:p>
    <w:p>
      <w:pPr>
        <w:ind w:left="1480"/>
        <w:spacing w:after="0" w:line="237" w:lineRule="auto"/>
        <w:rPr>
          <w:sz w:val="20"/>
          <w:szCs w:val="20"/>
          <w:color w:val="auto"/>
        </w:rPr>
      </w:pPr>
      <w:r>
        <w:rPr>
          <w:rFonts w:ascii="Arial" w:cs="Arial" w:eastAsia="Arial" w:hAnsi="Arial"/>
          <w:sz w:val="39"/>
          <w:szCs w:val="39"/>
          <w:b w:val="1"/>
          <w:bCs w:val="1"/>
          <w:color w:val="auto"/>
        </w:rPr>
        <w:t>APPROVAL OF THE UPBOUND GROUP, INC.</w:t>
      </w:r>
    </w:p>
    <w:p>
      <w:pPr>
        <w:spacing w:after="0" w:line="1" w:lineRule="exact"/>
        <w:rPr>
          <w:sz w:val="20"/>
          <w:szCs w:val="20"/>
          <w:color w:val="auto"/>
        </w:rPr>
      </w:pPr>
    </w:p>
    <w:p>
      <w:pPr>
        <w:ind w:left="2240"/>
        <w:spacing w:after="0"/>
        <w:rPr>
          <w:sz w:val="20"/>
          <w:szCs w:val="20"/>
          <w:color w:val="auto"/>
        </w:rPr>
      </w:pPr>
      <w:r>
        <w:rPr>
          <w:rFonts w:ascii="Arial" w:cs="Arial" w:eastAsia="Arial" w:hAnsi="Arial"/>
          <w:sz w:val="40"/>
          <w:szCs w:val="40"/>
          <w:b w:val="1"/>
          <w:bCs w:val="1"/>
          <w:color w:val="auto"/>
        </w:rPr>
        <w:t>2026 LONG-TERM INCENTIVE PLAN</w:t>
      </w:r>
    </w:p>
    <w:p>
      <w:pPr>
        <w:spacing w:after="0" w:line="100"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We are seeking the approval of our stockholders of the Upbound Group, Inc. 2026 Long-Term Incentive Plan, which was adopted by the Board on March 25, 2026, subject to stockholder approval (the “2026 Plan”). The terms of the 2026 Plan are substantially identical to those of the stockholder-approved 2021 Plan. 4,700,000 shares are authorized for issuance under the 2026 Plan; shares from the 2021 Plan will not be available to grant under the 2026 Plan. Upon approval of the 2026 Plan, no additional awards will be granted under the 2021 Plan, and all shares remaining for future issuance pursuant to the 2021 Plan, which is estimated to be 2,752,202 as of March 11, 2026, will be canceled at that time. If our stockholders do not approve the 2026 Plan, the 2021 Plan will remain in effect in its current form.</w:t>
      </w:r>
    </w:p>
    <w:p>
      <w:pPr>
        <w:spacing w:after="0" w:line="122" w:lineRule="exact"/>
        <w:rPr>
          <w:sz w:val="20"/>
          <w:szCs w:val="20"/>
          <w:color w:val="auto"/>
        </w:rPr>
      </w:pPr>
    </w:p>
    <w:p>
      <w:pPr>
        <w:jc w:val="both"/>
        <w:ind w:left="760"/>
        <w:spacing w:after="0" w:line="260" w:lineRule="auto"/>
        <w:rPr>
          <w:sz w:val="20"/>
          <w:szCs w:val="20"/>
          <w:color w:val="auto"/>
        </w:rPr>
      </w:pPr>
      <w:r>
        <w:rPr>
          <w:rFonts w:ascii="Arial" w:cs="Arial" w:eastAsia="Arial" w:hAnsi="Arial"/>
          <w:sz w:val="16"/>
          <w:szCs w:val="16"/>
          <w:color w:val="auto"/>
        </w:rPr>
        <w:t>As discussed further in the CD&amp;A, long-term incentive compensation, delivered in the form of restricted stock units and performance stock units, is a primary component of our executive compensation program. Our long-term incentive program is designed to align executive compensation with sustained value creation for our stockholders. For 2025 and 2026, long-term incentive awards for our named executive officers were delivered through a mix of time-based restricted stock units and performance stock units, with more than a majority of the grant date fair value in the form of performance-based awards for our Chief Executive Officer and other senior executives. The performance stock units vest based solely on our relative total shareholder return over a three-year period as compared to an S&amp;P index, subject to a payout range of 0% to 200% of target, with no payout for performance below a specified threshold percentile and a capped maximum payout for outperformance. The Compensation Committee believes this structure appropriately balances retention and performance orientation, provides a direct and transparent link between realized compensation and long-term stockholder returns, and overall feedback from the Company’s investor outreach effort has been supportive of our executive compensation program, including our long-term incentive compensation design. The requested shares under the 2026 LTIP are intended to support this performance-weighted design and maintain our ability to deliver a competitive mix of cash and equity compensation over the coming years. Additionally, the Company’s recent recruitment of key executive talent has involved compensation packages with a significant equity component.</w:t>
      </w:r>
    </w:p>
    <w:p>
      <w:pPr>
        <w:spacing w:after="0" w:line="315"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Further, equity-based awards are granted to a broader group of several hundred employees and motivate and reward achievement of long-term growth and align their interests with those of our stockholders. We recommend that stockholders approve the 2026 Plan to permit the continued use of equity-based compensation. If the 2026 Plan is not approved, we will be unable to maintain our current equity grant practices and will be at a significant competitive disadvantage in attracting, retaining and motivating the talented individuals who contribute to our success. Moreover, we may need to replace equity-based components of our compensation structure with cash, which would increase cash compensation expense and reduce alignment with stockholder interests.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Our Board of Directors recommends that you vote “FOR” approval of the 2026 Plan.</w:t>
      </w:r>
    </w:p>
    <w:p>
      <w:pPr>
        <w:spacing w:after="0" w:line="2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Summary of the Proposed 2026 Plan</w:t>
      </w:r>
    </w:p>
    <w:p>
      <w:pPr>
        <w:spacing w:after="0" w:line="162"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Our Board adopted the 2026 Plan on March 25, 2026, subject to stockholder approval, to issue awards under the 2026 Plan of up to 4,700,000 shares of our common stock. The terms of the 2026 Plan are substantially identical to those of the stockholder-approved 2021 Plan, other than a new pool of 4,700,000 shares authorized for issuance under the plan. Upon stockholder approval of the 2026 Plan, all shares remaining for future issuance pursuant to the 2021 Plan, which is estimated to be 2,752,202 as of March 11, 2026, will be canceled. This summary of the 2026 Plan is qualified in its entirety by reference to the complete text of the 2026 Plan, which is attached hereto as Annex B.</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Highlights of the 2026 Plan</w:t>
      </w:r>
    </w:p>
    <w:p>
      <w:pPr>
        <w:spacing w:after="0" w:line="149" w:lineRule="exact"/>
        <w:rPr>
          <w:sz w:val="20"/>
          <w:szCs w:val="20"/>
          <w:color w:val="auto"/>
        </w:rPr>
      </w:pPr>
    </w:p>
    <w:p>
      <w:pPr>
        <w:jc w:val="both"/>
        <w:ind w:left="760"/>
        <w:spacing w:after="0" w:line="304" w:lineRule="auto"/>
        <w:rPr>
          <w:sz w:val="20"/>
          <w:szCs w:val="20"/>
          <w:color w:val="auto"/>
        </w:rPr>
      </w:pPr>
      <w:r>
        <w:rPr>
          <w:rFonts w:ascii="Arial" w:cs="Arial" w:eastAsia="Arial" w:hAnsi="Arial"/>
          <w:sz w:val="16"/>
          <w:szCs w:val="16"/>
          <w:b w:val="1"/>
          <w:bCs w:val="1"/>
          <w:i w:val="1"/>
          <w:iCs w:val="1"/>
          <w:color w:val="auto"/>
        </w:rPr>
        <w:t xml:space="preserve">Governance Best Practices. </w:t>
      </w:r>
      <w:r>
        <w:rPr>
          <w:rFonts w:ascii="Arial" w:cs="Arial" w:eastAsia="Arial" w:hAnsi="Arial"/>
          <w:sz w:val="16"/>
          <w:szCs w:val="16"/>
          <w:color w:val="auto"/>
        </w:rPr>
        <w:t>The 2026 Plan maintains features and practices of the previous 2021 Plan that promote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governance and protect stockholders’ interests, including:</w:t>
      </w:r>
    </w:p>
    <w:p>
      <w:pPr>
        <w:spacing w:after="0" w:line="47" w:lineRule="exact"/>
        <w:rPr>
          <w:sz w:val="20"/>
          <w:szCs w:val="20"/>
          <w:color w:val="auto"/>
        </w:rPr>
      </w:pPr>
    </w:p>
    <w:p>
      <w:pPr>
        <w:jc w:val="both"/>
        <w:ind w:left="940" w:right="20" w:hanging="178"/>
        <w:spacing w:after="0" w:line="275" w:lineRule="auto"/>
        <w:tabs>
          <w:tab w:leader="none" w:pos="94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“liberal” change in control definition. </w:t>
      </w:r>
      <w:r>
        <w:rPr>
          <w:rFonts w:ascii="Arial" w:cs="Arial" w:eastAsia="Arial" w:hAnsi="Arial"/>
          <w:sz w:val="16"/>
          <w:szCs w:val="16"/>
          <w:color w:val="auto"/>
        </w:rPr>
        <w:t>The change in control definition is not “liberal” and, for example, would not occur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merely upon stockholder approval of a merger transaction. A change in control must actually occur in order for the change in control provisions in the plan to be triggered.</w:t>
      </w:r>
    </w:p>
    <w:p>
      <w:pPr>
        <w:spacing w:after="0" w:line="69"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Minimum vesting requirements. </w:t>
      </w:r>
      <w:r>
        <w:rPr>
          <w:rFonts w:ascii="Arial" w:cs="Arial" w:eastAsia="Arial" w:hAnsi="Arial"/>
          <w:sz w:val="16"/>
          <w:szCs w:val="16"/>
          <w:color w:val="auto"/>
        </w:rPr>
        <w:t>Awards are subject to a minimum vesting period of at least one year following the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is granted, subject to certain exceptions.</w:t>
      </w:r>
    </w:p>
    <w:p>
      <w:pPr>
        <w:spacing w:after="0" w:line="200" w:lineRule="exact"/>
        <w:rPr>
          <w:sz w:val="20"/>
          <w:szCs w:val="20"/>
          <w:color w:val="auto"/>
        </w:rPr>
      </w:pPr>
    </w:p>
    <w:p>
      <w:pPr>
        <w:spacing w:after="0" w:line="20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FIVE: APPROVAL OF THE UPBOUND GROUP, INC. 2026 LONG-TERM INCENTIVE PLAN</w:t>
      </w:r>
    </w:p>
    <w:p>
      <w:pPr>
        <w:spacing w:after="0" w:line="370" w:lineRule="exact"/>
        <w:rPr>
          <w:sz w:val="20"/>
          <w:szCs w:val="20"/>
          <w:color w:val="auto"/>
        </w:rPr>
      </w:pPr>
    </w:p>
    <w:p>
      <w:pPr>
        <w:ind w:left="940" w:hanging="178"/>
        <w:spacing w:after="0" w:line="286"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tax gross-ups. </w:t>
      </w:r>
      <w:r>
        <w:rPr>
          <w:rFonts w:ascii="Arial" w:cs="Arial" w:eastAsia="Arial" w:hAnsi="Arial"/>
          <w:sz w:val="16"/>
          <w:szCs w:val="16"/>
          <w:color w:val="auto"/>
        </w:rPr>
        <w:t>No participant is entitled to any tax gross-up payments for any excise tax pursuant to Sections 280G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4999 of the Code that may be incurred in connection with awards under the plan.</w:t>
      </w:r>
    </w:p>
    <w:p>
      <w:pPr>
        <w:spacing w:after="0" w:line="61" w:lineRule="exact"/>
        <w:rPr>
          <w:rFonts w:ascii="Arial" w:cs="Arial" w:eastAsia="Arial" w:hAnsi="Arial"/>
          <w:sz w:val="16"/>
          <w:szCs w:val="16"/>
          <w:color w:val="auto"/>
        </w:rPr>
      </w:pPr>
    </w:p>
    <w:p>
      <w:pPr>
        <w:jc w:val="both"/>
        <w:ind w:left="940" w:hanging="178"/>
        <w:spacing w:after="0" w:line="275"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repricings or cash buyout of  “underwater” awards. </w:t>
      </w:r>
      <w:r>
        <w:rPr>
          <w:rFonts w:ascii="Arial" w:cs="Arial" w:eastAsia="Arial" w:hAnsi="Arial"/>
          <w:sz w:val="16"/>
          <w:szCs w:val="16"/>
          <w:color w:val="auto"/>
        </w:rPr>
        <w:t>Neither a repricing of options or stock appreciation right (“SAR”)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nor a cash buyout of underwater options or SARs, is permitted without stockholder approval, except for adjustments with respect to a change in control or an equitable adjustment in connection with certain corporate transactions.</w:t>
      </w:r>
    </w:p>
    <w:p>
      <w:pPr>
        <w:spacing w:after="0" w:line="56"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evergreen provision. </w:t>
      </w:r>
      <w:r>
        <w:rPr>
          <w:rFonts w:ascii="Arial" w:cs="Arial" w:eastAsia="Arial" w:hAnsi="Arial"/>
          <w:sz w:val="16"/>
          <w:szCs w:val="16"/>
          <w:color w:val="auto"/>
        </w:rPr>
        <w:t>The plan does not contain an “evergreen” feature pursuant to which the shares authorized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under the plan can be increased automatically without stockholder approval.</w:t>
      </w:r>
    </w:p>
    <w:p>
      <w:pPr>
        <w:spacing w:after="0" w:line="33" w:lineRule="exact"/>
        <w:rPr>
          <w:rFonts w:ascii="Arial" w:cs="Arial" w:eastAsia="Arial" w:hAnsi="Arial"/>
          <w:sz w:val="16"/>
          <w:szCs w:val="16"/>
          <w:color w:val="auto"/>
        </w:rPr>
      </w:pPr>
    </w:p>
    <w:p>
      <w:pPr>
        <w:jc w:val="both"/>
        <w:ind w:left="940" w:hanging="178"/>
        <w:spacing w:after="0" w:line="275"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“reload” options or stock appreciation rights. </w:t>
      </w:r>
      <w:r>
        <w:rPr>
          <w:rFonts w:ascii="Arial" w:cs="Arial" w:eastAsia="Arial" w:hAnsi="Arial"/>
          <w:sz w:val="16"/>
          <w:szCs w:val="16"/>
          <w:color w:val="auto"/>
        </w:rPr>
        <w:t>The plan does not permit the use of reload options or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appreciation rights which provide that the exercise of a stock option or stock appreciation right can automatically trigger the grant of a new stock option or stock appreciation right.</w:t>
      </w:r>
    </w:p>
    <w:p>
      <w:pPr>
        <w:spacing w:after="0" w:line="69" w:lineRule="exact"/>
        <w:rPr>
          <w:rFonts w:ascii="Arial" w:cs="Arial" w:eastAsia="Arial" w:hAnsi="Arial"/>
          <w:sz w:val="16"/>
          <w:szCs w:val="16"/>
          <w:color w:val="auto"/>
        </w:rPr>
      </w:pPr>
    </w:p>
    <w:p>
      <w:pPr>
        <w:ind w:left="940" w:hanging="178"/>
        <w:spacing w:after="0"/>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Transferability.  </w:t>
      </w:r>
      <w:r>
        <w:rPr>
          <w:rFonts w:ascii="Arial" w:cs="Arial" w:eastAsia="Arial" w:hAnsi="Arial"/>
          <w:sz w:val="16"/>
          <w:szCs w:val="16"/>
          <w:color w:val="auto"/>
        </w:rPr>
        <w:t>Awards generally may not be transferred, except by the laws of descent and distribution.</w:t>
      </w:r>
    </w:p>
    <w:p>
      <w:pPr>
        <w:spacing w:after="0" w:line="113"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Dividend Payments on Unvested Awards. </w:t>
      </w:r>
      <w:r>
        <w:rPr>
          <w:rFonts w:ascii="Arial" w:cs="Arial" w:eastAsia="Arial" w:hAnsi="Arial"/>
          <w:sz w:val="16"/>
          <w:szCs w:val="16"/>
          <w:color w:val="auto"/>
        </w:rPr>
        <w:t>Requires that any dividends or dividend equivalent rights granted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any type of award will be subject to the same vesting terms and conditions as the underlying award.</w:t>
      </w:r>
    </w:p>
    <w:p>
      <w:pPr>
        <w:spacing w:after="0" w:line="33" w:lineRule="exact"/>
        <w:rPr>
          <w:rFonts w:ascii="Arial" w:cs="Arial" w:eastAsia="Arial" w:hAnsi="Arial"/>
          <w:sz w:val="16"/>
          <w:szCs w:val="16"/>
          <w:color w:val="auto"/>
        </w:rPr>
      </w:pPr>
    </w:p>
    <w:p>
      <w:pPr>
        <w:ind w:left="940" w:hanging="178"/>
        <w:spacing w:after="0" w:line="304"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Liberal Share Recycling. </w:t>
      </w:r>
      <w:r>
        <w:rPr>
          <w:rFonts w:ascii="Arial" w:cs="Arial" w:eastAsia="Arial" w:hAnsi="Arial"/>
          <w:sz w:val="16"/>
          <w:szCs w:val="16"/>
          <w:color w:val="auto"/>
        </w:rPr>
        <w:t>Provides that shares delivered to pay the exercise price or to satisfy tax withholding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may not be reused for future awards.</w:t>
      </w:r>
    </w:p>
    <w:p>
      <w:pPr>
        <w:spacing w:after="0" w:line="33" w:lineRule="exact"/>
        <w:rPr>
          <w:rFonts w:ascii="Arial" w:cs="Arial" w:eastAsia="Arial" w:hAnsi="Arial"/>
          <w:sz w:val="16"/>
          <w:szCs w:val="16"/>
          <w:color w:val="auto"/>
        </w:rPr>
      </w:pPr>
    </w:p>
    <w:p>
      <w:pPr>
        <w:ind w:left="940" w:hanging="178"/>
        <w:spacing w:after="0" w:line="286"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Double Trigger Change in Control. </w:t>
      </w:r>
      <w:r>
        <w:rPr>
          <w:rFonts w:ascii="Arial" w:cs="Arial" w:eastAsia="Arial" w:hAnsi="Arial"/>
          <w:sz w:val="16"/>
          <w:szCs w:val="16"/>
          <w:color w:val="auto"/>
        </w:rPr>
        <w:t>Provides double-trigger vesting of awards upon a qualifying termination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change in control.</w:t>
      </w:r>
    </w:p>
    <w:p>
      <w:pPr>
        <w:spacing w:after="0" w:line="61" w:lineRule="exact"/>
        <w:rPr>
          <w:rFonts w:ascii="Arial" w:cs="Arial" w:eastAsia="Arial" w:hAnsi="Arial"/>
          <w:sz w:val="16"/>
          <w:szCs w:val="16"/>
          <w:color w:val="auto"/>
        </w:rPr>
      </w:pPr>
    </w:p>
    <w:p>
      <w:pPr>
        <w:ind w:left="940" w:hanging="178"/>
        <w:spacing w:after="0" w:line="286"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Clawback Policy Implementation. </w:t>
      </w:r>
      <w:r>
        <w:rPr>
          <w:rFonts w:ascii="Arial" w:cs="Arial" w:eastAsia="Arial" w:hAnsi="Arial"/>
          <w:sz w:val="16"/>
          <w:szCs w:val="16"/>
          <w:color w:val="auto"/>
        </w:rPr>
        <w:t>Stipulates that the Compensation Committee has the authority to implement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clawback or recoupment policies that the Company has in place from time to time.</w:t>
      </w:r>
    </w:p>
    <w:p>
      <w:pPr>
        <w:spacing w:after="0" w:line="61" w:lineRule="exact"/>
        <w:rPr>
          <w:rFonts w:ascii="Arial" w:cs="Arial" w:eastAsia="Arial" w:hAnsi="Arial"/>
          <w:sz w:val="16"/>
          <w:szCs w:val="16"/>
          <w:color w:val="auto"/>
        </w:rPr>
      </w:pPr>
    </w:p>
    <w:p>
      <w:pPr>
        <w:jc w:val="both"/>
        <w:ind w:left="940" w:hanging="178"/>
        <w:spacing w:after="0" w:line="275" w:lineRule="auto"/>
        <w:tabs>
          <w:tab w:leader="none" w:pos="9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Denominated Award Limit for Non-Employee Directors. </w:t>
      </w:r>
      <w:r>
        <w:rPr>
          <w:rFonts w:ascii="Arial" w:cs="Arial" w:eastAsia="Arial" w:hAnsi="Arial"/>
          <w:sz w:val="16"/>
          <w:szCs w:val="16"/>
          <w:color w:val="auto"/>
        </w:rPr>
        <w:t>Limits the maximum dollar value of awards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during any calendar year to any non-employee director, solely with respect to his or her service as a member of the board.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Grant Practices and Key Data</w:t>
      </w:r>
    </w:p>
    <w:p>
      <w:pPr>
        <w:spacing w:after="0" w:line="149" w:lineRule="exact"/>
        <w:rPr>
          <w:sz w:val="20"/>
          <w:szCs w:val="20"/>
          <w:color w:val="auto"/>
        </w:rPr>
      </w:pPr>
    </w:p>
    <w:p>
      <w:pPr>
        <w:jc w:val="both"/>
        <w:ind w:left="760"/>
        <w:spacing w:after="0" w:line="250" w:lineRule="auto"/>
        <w:rPr>
          <w:sz w:val="20"/>
          <w:szCs w:val="20"/>
          <w:color w:val="auto"/>
        </w:rPr>
      </w:pPr>
      <w:r>
        <w:rPr>
          <w:rFonts w:ascii="Arial" w:cs="Arial" w:eastAsia="Arial" w:hAnsi="Arial"/>
          <w:sz w:val="16"/>
          <w:szCs w:val="16"/>
          <w:color w:val="auto"/>
        </w:rPr>
        <w:t>When determining the number of shares authorized for issuance under the 2026 Plan, the Board and the Compensation Committee carefully considered the potential dilution to our current stockholders and projected future share usage needs for the Company to be able to make competitive grants to participants. Specifically, the Board and the Compensation Committee considered a number of factors, including our conservative historical and projected share usage. Burn rate (which is defined as the gross number of equity-based awards granted, for time-based awards, and earned, for performance-based awards, during a calendar year divided by the weighted average number of shares of common stock outstanding during the year) is a measure of share utilization in equity plans and an important factor for investors concerned about shareholder dilution. Under the 2021 Plan, our annual burn rate for 2025 was 2.36%. Our annual equity grants made in February 2026 were consistent with this program. Based on our usage of shares authorized for issuance under the 2021 Plan and our reasonable expectation of future equity usage, we believe that the number of additional shares being requested for authorization under the 2026 Plan will last three years, depending on factors such as stock price movement, participation levels and corporate activities that could impact our grant practices.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Key Terms of the 2026 Plan</w:t>
      </w:r>
    </w:p>
    <w:p>
      <w:pPr>
        <w:spacing w:after="0" w:line="162"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color w:val="auto"/>
        </w:rPr>
        <w:t>The terms of the 2026 Plan are substantially identical to those of the stockholder-approved 2021 Plan, other than the increase in the number of shares authorized for issuance under the plan. The following summary of the material terms of the 2026 Plan is qualified in its entirety by reference to the complete text of the 2026 Plan. Capitalized terms used in this proposal that are not otherwise defined have the meanings given to them in the 2026 Plan.</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Purpose</w:t>
      </w:r>
    </w:p>
    <w:p>
      <w:pPr>
        <w:spacing w:after="0" w:line="162"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The purpose of the 2026 Plan is to foster the ability of the Company and its subsidiaries to attract, motivate and retain key personnel and enhance stockholder value through the use of certain equity and cash incentive compensation opportunities.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Eligibility</w:t>
      </w:r>
    </w:p>
    <w:p>
      <w:pPr>
        <w:spacing w:after="0" w:line="149"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color w:val="auto"/>
        </w:rPr>
        <w:t>Awards under the 2026 Plan may be made to any present or future directors, officers, employees, consultants and other personnel of the Company or a subsidiary. As of December 31, 2025, it is expected that approximately 300 officers, employees, consultants and other personnel of the Company and all six of our non-employee directors who are expected to continue to serve as directors following the 2026 Annual Meeting will be eligible to participate in the 2026 Plan.</w:t>
      </w:r>
    </w:p>
    <w:p>
      <w:pPr>
        <w:spacing w:after="0" w:line="200" w:lineRule="exact"/>
        <w:rPr>
          <w:sz w:val="20"/>
          <w:szCs w:val="20"/>
          <w:color w:val="auto"/>
        </w:rPr>
      </w:pPr>
    </w:p>
    <w:p>
      <w:pPr>
        <w:spacing w:after="0" w:line="23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64</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2940"/>
        <w:spacing w:after="0" w:line="296" w:lineRule="auto"/>
        <w:rPr>
          <w:sz w:val="20"/>
          <w:szCs w:val="20"/>
          <w:color w:val="auto"/>
        </w:rPr>
      </w:pPr>
      <w:r>
        <w:rPr>
          <w:rFonts w:ascii="Arial" w:cs="Arial" w:eastAsia="Arial" w:hAnsi="Arial"/>
          <w:sz w:val="16"/>
          <w:szCs w:val="16"/>
          <w:b w:val="1"/>
          <w:bCs w:val="1"/>
          <w:color w:val="auto"/>
        </w:rPr>
        <w:t>PROPOSAL FIVE: APPROVAL OF THE UPBOUND GROUP, INC. 2026 LONG-TERM INCENTIVE PLAN​ ​</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Shares Subject to the 2026 Plan</w:t>
      </w:r>
    </w:p>
    <w:p>
      <w:pPr>
        <w:spacing w:after="0" w:line="149" w:lineRule="exact"/>
        <w:rPr>
          <w:sz w:val="20"/>
          <w:szCs w:val="20"/>
          <w:color w:val="auto"/>
        </w:rPr>
      </w:pPr>
    </w:p>
    <w:p>
      <w:pPr>
        <w:jc w:val="both"/>
        <w:ind w:left="760" w:right="40"/>
        <w:spacing w:after="0" w:line="250" w:lineRule="auto"/>
        <w:rPr>
          <w:sz w:val="20"/>
          <w:szCs w:val="20"/>
          <w:color w:val="auto"/>
        </w:rPr>
      </w:pPr>
      <w:r>
        <w:rPr>
          <w:rFonts w:ascii="Arial" w:cs="Arial" w:eastAsia="Arial" w:hAnsi="Arial"/>
          <w:sz w:val="16"/>
          <w:szCs w:val="16"/>
          <w:color w:val="auto"/>
        </w:rPr>
        <w:t>If approved, the 2026 Plan would authorize us to issue a total of 4,700,000 shares of common stock. If the 2026 Plan is approved, up to 4,700,000 shares of common stock may be issued under the 2026 Plan covering a stock option granted as an “incentive stock option” ​(within the meaning of Section 422 of the Internal Revenue Code of 1986). Shares of common stock subject to an award that is forfeited, expires, terminates or is settled for cash (in whole or in part), to the extent of such forfeiture, expiration, termination or cash settlement will be available for future grants of awards under the 2026 Plan and will be added back in the same number of shares of common stock as were deducted in respect of such award. The payment of dividend equivalent rights in cash in conjunction with any outstanding awards will not be counted against the shares of common stock available for issuance under the 2026 Plan. Shares of common stock tendered by an award holder, repurchased by the Company using proceeds from the exercise of stock options, reserved for issuance upon grant of stock-settled stock appreciation rights to the extent the number of reserved shares exceeds the number of shares actually issued upon exercise of the stock appreciation rights or withheld by the Company in payment of the exercise price of a stock option or to satisfy any tax withholding obligation for an award will not again be available for awards under the 2026 Plan.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Limitations on Director Awards</w:t>
      </w:r>
    </w:p>
    <w:p>
      <w:pPr>
        <w:spacing w:after="0" w:line="162" w:lineRule="exact"/>
        <w:rPr>
          <w:sz w:val="20"/>
          <w:szCs w:val="20"/>
          <w:color w:val="auto"/>
        </w:rPr>
      </w:pPr>
    </w:p>
    <w:p>
      <w:pPr>
        <w:jc w:val="both"/>
        <w:ind w:left="760" w:right="60"/>
        <w:spacing w:after="0" w:line="286" w:lineRule="auto"/>
        <w:rPr>
          <w:sz w:val="20"/>
          <w:szCs w:val="20"/>
          <w:color w:val="auto"/>
        </w:rPr>
      </w:pPr>
      <w:r>
        <w:rPr>
          <w:rFonts w:ascii="Arial" w:cs="Arial" w:eastAsia="Arial" w:hAnsi="Arial"/>
          <w:sz w:val="16"/>
          <w:szCs w:val="16"/>
          <w:color w:val="auto"/>
        </w:rPr>
        <w:t>The maximum value of awards that can be granted during any calendar year to any non-employee director, solely with respect to his or her service as a member of the board, is $800,000.</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Minimum Vesting Requirements</w:t>
      </w:r>
    </w:p>
    <w:p>
      <w:pPr>
        <w:spacing w:after="0" w:line="162"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6"/>
          <w:szCs w:val="16"/>
          <w:color w:val="auto"/>
        </w:rPr>
        <w:t>No awards granted under the 2026 Plan shall vest or be exercisable (in the case of stock options and stock appreciation rights) earlier than the date that is one year following the date the award is granted; provided, however, (1) the Compensation Committee may provide that such restrictions may lapse or be waived upon the recipient’s death or disability or termination of service, or in connection with a change in control, (2) awards that result in the issuance of an aggregate of up to five percent (5%) of the shares of common stock that may be authorized for grant (as such authorized number of shares of common stock may be adjusted as provided under the terms of the 2026 Plan) may be granted without respect to such minimum vesting provision, and (3) awards may be granted to non-employee directors without respect to such minimum vesting provision.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Administration</w:t>
      </w:r>
    </w:p>
    <w:p>
      <w:pPr>
        <w:spacing w:after="0" w:line="149" w:lineRule="exact"/>
        <w:rPr>
          <w:sz w:val="20"/>
          <w:szCs w:val="20"/>
          <w:color w:val="auto"/>
        </w:rPr>
      </w:pPr>
    </w:p>
    <w:p>
      <w:pPr>
        <w:jc w:val="both"/>
        <w:ind w:left="760" w:right="40"/>
        <w:spacing w:after="0" w:line="250" w:lineRule="auto"/>
        <w:rPr>
          <w:sz w:val="20"/>
          <w:szCs w:val="20"/>
          <w:color w:val="auto"/>
        </w:rPr>
      </w:pPr>
      <w:r>
        <w:rPr>
          <w:rFonts w:ascii="Arial" w:cs="Arial" w:eastAsia="Arial" w:hAnsi="Arial"/>
          <w:sz w:val="16"/>
          <w:szCs w:val="16"/>
          <w:color w:val="auto"/>
        </w:rPr>
        <w:t>The 2026 Plan is generally to be administered by the Compensation Committee. The Compensation Committee has the full power and authority to: (1) select the persons to whom awards under the 2026 Plan will be made and when such awards will be made; (2) prescribe the types of awards to be granted and the terms and conditions of each such award and make amendments thereto; (3) construe, interpret and apply the provisions of the 2026 Plan and of any award Agreement evidencing an award hereunder (each, an “Award Agreement”) or other document governing the terms of an award made under the 2026 Plan;</w:t>
      </w:r>
    </w:p>
    <w:p>
      <w:pPr>
        <w:spacing w:after="0" w:line="3" w:lineRule="exact"/>
        <w:rPr>
          <w:sz w:val="20"/>
          <w:szCs w:val="20"/>
          <w:color w:val="auto"/>
        </w:rPr>
      </w:pPr>
    </w:p>
    <w:p>
      <w:pPr>
        <w:jc w:val="both"/>
        <w:ind w:left="760" w:right="40" w:firstLine="2"/>
        <w:spacing w:after="0" w:line="246" w:lineRule="auto"/>
        <w:tabs>
          <w:tab w:leader="none" w:pos="1009"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make any and all determinations and take any and all other actions as it deems necessary or desirable in order to carry out the terms of the 2026 Plan and any award; (5) prescribe, amend and rescind rules and regulations relating to the 2026 Plan, including rules governing the Compensation Committee’s own operations and rules applicable to award holders; (6) correct any defect, supply any omission and reconcile any inconsistency in the 2026 Plan; (7) accelerate the time or times at which (a) the award becomes vested, unrestricted or may be exercised or (b) shares of common stock are delivered under the award;</w:t>
      </w:r>
    </w:p>
    <w:p>
      <w:pPr>
        <w:spacing w:after="0" w:line="2" w:lineRule="exact"/>
        <w:rPr>
          <w:rFonts w:ascii="Arial" w:cs="Arial" w:eastAsia="Arial" w:hAnsi="Arial"/>
          <w:sz w:val="16"/>
          <w:szCs w:val="16"/>
          <w:color w:val="auto"/>
        </w:rPr>
      </w:pPr>
    </w:p>
    <w:p>
      <w:pPr>
        <w:jc w:val="both"/>
        <w:ind w:left="760" w:right="40" w:firstLine="2"/>
        <w:spacing w:after="0" w:line="256" w:lineRule="auto"/>
        <w:tabs>
          <w:tab w:leader="none" w:pos="1016" w:val="left"/>
        </w:tabs>
        <w:numPr>
          <w:ilvl w:val="0"/>
          <w:numId w:val="83"/>
        </w:numPr>
        <w:rPr>
          <w:rFonts w:ascii="Arial" w:cs="Arial" w:eastAsia="Arial" w:hAnsi="Arial"/>
          <w:sz w:val="16"/>
          <w:szCs w:val="16"/>
          <w:color w:val="auto"/>
        </w:rPr>
      </w:pPr>
      <w:r>
        <w:rPr>
          <w:rFonts w:ascii="Arial" w:cs="Arial" w:eastAsia="Arial" w:hAnsi="Arial"/>
          <w:sz w:val="16"/>
          <w:szCs w:val="16"/>
          <w:color w:val="auto"/>
        </w:rPr>
        <w:t>waive or amend any goals, restrictions, vesting provisions or conditions set forth in any Award Agreement, or impose new goals, restrictions, vesting provisions and conditions; (9) determine at any time whether awards may be settled in cash, shares of common stock, other securities or other property; and (10) exercise all powers granted to it under the 2026 Plan.</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Types of Awards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types of awards that may be granted under the 2026 Plan are:</w:t>
      </w:r>
    </w:p>
    <w:p>
      <w:pPr>
        <w:spacing w:after="0" w:line="113" w:lineRule="exact"/>
        <w:rPr>
          <w:sz w:val="20"/>
          <w:szCs w:val="20"/>
          <w:color w:val="auto"/>
        </w:rPr>
      </w:pPr>
    </w:p>
    <w:p>
      <w:pPr>
        <w:jc w:val="both"/>
        <w:ind w:left="940" w:right="40" w:hanging="178"/>
        <w:spacing w:after="0" w:line="264" w:lineRule="auto"/>
        <w:tabs>
          <w:tab w:leader="none" w:pos="9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Stock Options. The 2026 Plan permits the granting of stock options at such times and upon such vesting and other conditions as determined by the Compensation Committee. The purchase price per share of common stock covered by an option granted under the 2026 Plan may not be less than the Fair Market Value per share of common stock on the date the option is granted. The exercise price under an option that is intended to qualify as an “incentive stock option” granted to an employee who is a 10% stockholder may not be less than 110% of the Fair Market Value per share on the date the option is granted. Unless sooner terminated in accordance with its terms, an option will automatically expire on the tenth anniversary of the date it is granted (the fifth anniversary of the date it is granted in the case of an option that is intended to qualify as an “incentive stock option” granted to an employee who is a 10% stockholder).</w:t>
      </w:r>
    </w:p>
    <w:p>
      <w:pPr>
        <w:spacing w:after="0" w:line="68" w:lineRule="exact"/>
        <w:rPr>
          <w:rFonts w:ascii="Arial" w:cs="Arial" w:eastAsia="Arial" w:hAnsi="Arial"/>
          <w:sz w:val="16"/>
          <w:szCs w:val="16"/>
          <w:color w:val="auto"/>
        </w:rPr>
      </w:pPr>
    </w:p>
    <w:p>
      <w:pPr>
        <w:ind w:left="940" w:right="40" w:hanging="178"/>
        <w:spacing w:after="0" w:line="304" w:lineRule="auto"/>
        <w:tabs>
          <w:tab w:leader="none" w:pos="9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Stock Awards. The 2026 Plan permits the granting of restricted stock, deferred stock, stock units (whether in the form of restricted stock units or DSUs), stock bonus and other stock awards to such persons, at such times and upon such vesting</w:t>
      </w:r>
    </w:p>
    <w:p>
      <w:pPr>
        <w:spacing w:after="0" w:line="200" w:lineRule="exact"/>
        <w:rPr>
          <w:sz w:val="20"/>
          <w:szCs w:val="20"/>
          <w:color w:val="auto"/>
        </w:rPr>
      </w:pPr>
    </w:p>
    <w:p>
      <w:pPr>
        <w:spacing w:after="0" w:line="20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FIVE: APPROVAL OF THE UPBOUND GROUP, INC. 2026 LONG-TERM INCENTIVE PLAN</w:t>
      </w:r>
    </w:p>
    <w:p>
      <w:pPr>
        <w:spacing w:after="0" w:line="370" w:lineRule="exact"/>
        <w:rPr>
          <w:sz w:val="20"/>
          <w:szCs w:val="20"/>
          <w:color w:val="auto"/>
        </w:rPr>
      </w:pPr>
    </w:p>
    <w:p>
      <w:pPr>
        <w:jc w:val="both"/>
        <w:ind w:left="940"/>
        <w:spacing w:after="0" w:line="265" w:lineRule="auto"/>
        <w:rPr>
          <w:sz w:val="20"/>
          <w:szCs w:val="20"/>
          <w:color w:val="auto"/>
        </w:rPr>
      </w:pPr>
      <w:r>
        <w:rPr>
          <w:rFonts w:ascii="Arial" w:cs="Arial" w:eastAsia="Arial" w:hAnsi="Arial"/>
          <w:sz w:val="16"/>
          <w:szCs w:val="16"/>
          <w:color w:val="auto"/>
        </w:rPr>
        <w:t>and other conditions and restrictions as the Compensation Committee may determine. Unless otherwise determined by the Compensation Committee and set forth in the applicable Award Agreement, (1) the holder of a stock award will not be entitled to receive dividend payments (or, in the case of an award of stock units, dividend equivalent payments) with respect to the shares covered by the award and (2) the holder of shares of restricted stock may exercise voting rights pertaining to such shares.</w:t>
      </w:r>
    </w:p>
    <w:p>
      <w:pPr>
        <w:spacing w:after="0" w:line="78" w:lineRule="exact"/>
        <w:rPr>
          <w:sz w:val="20"/>
          <w:szCs w:val="20"/>
          <w:color w:val="auto"/>
        </w:rPr>
      </w:pPr>
    </w:p>
    <w:p>
      <w:pPr>
        <w:jc w:val="both"/>
        <w:ind w:left="940" w:hanging="178"/>
        <w:spacing w:after="0" w:line="262" w:lineRule="auto"/>
        <w:tabs>
          <w:tab w:leader="none" w:pos="9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Other Equity-Based Awards. Under the 2026 Plan, the Compensation Committee may grant stock appreciation rights, dividend equivalent payment rights, phantom shares, phantom stock units, bonus shares and other forms of equity based awards to eligible persons, subject to such terms and conditions as it may establish; provided, however, that no dividend or dividend equivalent payment rights shall be attributable to awards of stock appreciation rights or stock options. The base price for a stock appreciation right granted under the 2026 Plan may not be less than the Fair Market Value per share of stock covered by the award at the time it is granted. Unless sooner terminated in accordance with its terms, a stock appreciation right will automatically expire on the tenth anniversary of the date it is granted. Awards made pursuant to this section may entail the transfer of shares of common stock to a participant or the payment in cash or other property determined with reference to shares of common stock.</w:t>
      </w:r>
    </w:p>
    <w:p>
      <w:pPr>
        <w:spacing w:after="0" w:line="82" w:lineRule="exact"/>
        <w:rPr>
          <w:rFonts w:ascii="Arial" w:cs="Arial" w:eastAsia="Arial" w:hAnsi="Arial"/>
          <w:sz w:val="16"/>
          <w:szCs w:val="16"/>
          <w:color w:val="auto"/>
        </w:rPr>
      </w:pPr>
    </w:p>
    <w:p>
      <w:pPr>
        <w:jc w:val="both"/>
        <w:ind w:left="940" w:hanging="178"/>
        <w:spacing w:after="0" w:line="269" w:lineRule="auto"/>
        <w:tabs>
          <w:tab w:leader="none" w:pos="9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Cash Awards. Under the 2026 Plan, the Compensation Committee may grant awards in cash with the amount of the eventual payment subject to future service and such other restrictions and conditions as may be established by the Compensation Committee and set forth in the underlying agreement, including, but not limited to, continuous service with the Company and its subsidiaries, achievement of specific business objectives, increases in specified indices, attaining specified growth rates and other measurements of performance.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Performance-Based Equity and Cash Awards</w:t>
      </w:r>
    </w:p>
    <w:p>
      <w:pPr>
        <w:spacing w:after="0" w:line="162"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Under the 2026 Plan, the Compensation Committee may condition the grant, exercise, vesting or settlement of equity based awards or annual or long-term cash incentive awards on the achievement of specified performance goals over any time period specified by the Compensation Committee. Any performance goal established in connection with an award granted under the 2026 Plan may be based on any subjective or objective performance goal determined by the Compensation Committee in its discretion. The Compensation Committee, in its discretion, may determine to adjust any performance goals applicable to an award.</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Dividends and Dividend Equivalents</w:t>
      </w:r>
    </w:p>
    <w:p>
      <w:pPr>
        <w:spacing w:after="0" w:line="162"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To the extent dividends or dividend equivalents are included in an Award Agreement for an applicable award, the right to receive such dividends and dividend equivalent rights shall be subject to the same performance-based vesting conditions and/or service-vesting conditions, as applicable, as the underlying award, and no dividends or dividend equivalents shall be released to the award holder until the award to which they pertain has vested. For the avoidance of doubt, no dividends or dividend equivalent rights may be granted in connection with stock options or stock appreciation rights granted under the 2026 Plan.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Change in Control</w:t>
      </w:r>
    </w:p>
    <w:p>
      <w:pPr>
        <w:spacing w:after="0" w:line="149" w:lineRule="exact"/>
        <w:rPr>
          <w:sz w:val="20"/>
          <w:szCs w:val="20"/>
          <w:color w:val="auto"/>
        </w:rPr>
      </w:pPr>
    </w:p>
    <w:p>
      <w:pPr>
        <w:jc w:val="both"/>
        <w:ind w:left="760"/>
        <w:spacing w:after="0" w:line="264" w:lineRule="auto"/>
        <w:rPr>
          <w:sz w:val="20"/>
          <w:szCs w:val="20"/>
          <w:color w:val="auto"/>
        </w:rPr>
      </w:pPr>
      <w:r>
        <w:rPr>
          <w:rFonts w:ascii="Arial" w:cs="Arial" w:eastAsia="Arial" w:hAnsi="Arial"/>
          <w:sz w:val="16"/>
          <w:szCs w:val="16"/>
          <w:color w:val="auto"/>
        </w:rPr>
        <w:t>If an award holder’s employment or other service is terminated by the Company or any successor entity thereto without “cause” or by the award holder for “good reason” (as​ each such term is defined in the applicable Award Agreement or an award holder’s executive transition agreement or employment agreement, if applicable) upon or within two years after a “change in control” ​(as defined in the 2026 Plan), (1) each award granted to such award holder prior to such change in control will become fully vested (including the lapsing of all restrictions and conditions) and, as applicable, exercisable as of the date of such termination of employment or other service, and (2) any shares deliverable pursuant to stock units will be delivered promptly (but no later than 15 days) following such termination.</w:t>
      </w:r>
    </w:p>
    <w:p>
      <w:pPr>
        <w:spacing w:after="0" w:line="122"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color w:val="auto"/>
        </w:rPr>
        <w:t>As of the change in control date, any outstanding performance-based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clause (1) in the paragraph above.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Amendment and Termination</w:t>
      </w:r>
    </w:p>
    <w:p>
      <w:pPr>
        <w:spacing w:after="0" w:line="162" w:lineRule="exact"/>
        <w:rPr>
          <w:sz w:val="20"/>
          <w:szCs w:val="20"/>
          <w:color w:val="auto"/>
        </w:rPr>
      </w:pPr>
    </w:p>
    <w:p>
      <w:pPr>
        <w:jc w:val="both"/>
        <w:ind w:left="760"/>
        <w:spacing w:after="0" w:line="271" w:lineRule="auto"/>
        <w:rPr>
          <w:sz w:val="20"/>
          <w:szCs w:val="20"/>
          <w:color w:val="auto"/>
        </w:rPr>
      </w:pPr>
      <w:r>
        <w:rPr>
          <w:rFonts w:ascii="Arial" w:cs="Arial" w:eastAsia="Arial" w:hAnsi="Arial"/>
          <w:sz w:val="16"/>
          <w:szCs w:val="16"/>
          <w:color w:val="auto"/>
        </w:rPr>
        <w:t>The Board may amend or terminate the 2026 Plan; provided, however, that no such action may adversely affect a holder’s rights under an outstanding award without his or her written consent. Any amendment that would increase the aggregate number of shares of common stock issuable under the 2026 Plan, the maximum number of shares with respect to which options, stock appreciation rights or other equity awards may be granted to any employee in any calendar year, or that</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2940"/>
        <w:spacing w:after="0" w:line="296" w:lineRule="auto"/>
        <w:rPr>
          <w:sz w:val="20"/>
          <w:szCs w:val="20"/>
          <w:color w:val="auto"/>
        </w:rPr>
      </w:pPr>
      <w:r>
        <w:rPr>
          <w:rFonts w:ascii="Arial" w:cs="Arial" w:eastAsia="Arial" w:hAnsi="Arial"/>
          <w:sz w:val="16"/>
          <w:szCs w:val="16"/>
          <w:b w:val="1"/>
          <w:bCs w:val="1"/>
          <w:color w:val="auto"/>
        </w:rPr>
        <w:t>PROPOSAL FIVE: APPROVAL OF THE UPBOUND GROUP, INC. 2026 LONG-TERM INCENTIVE PLAN​ ​</w:t>
      </w:r>
    </w:p>
    <w:p>
      <w:pPr>
        <w:spacing w:after="0" w:line="100"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would modify the class of persons eligible to receive awards shall be subject to the approval of the Company’s stockholders. The Compensation Committee may amend the terms of any agreement or award made under the 2026 Plan at any time and from time to time; provided, however, that any amendment which would adversely affect a holder’s rights under an outstanding award may not be made without his or her consent.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Clawback</w:t>
      </w:r>
    </w:p>
    <w:p>
      <w:pPr>
        <w:spacing w:after="0" w:line="162"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Awards under the 2026 Plan will be subject to the Company’s clawback policy described under “Compensation Discussion and Analysis — Policies and Risk Mitigation — Clawback Policy”, or any other clawback or recapture policy that the Company may adopt from time to time to the extent provided in such policy, and, in accordance with such policy, may be subject to the requirement that the awards be repaid to the Company after they have been distributed to the award holder.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49" w:lineRule="exact"/>
        <w:rPr>
          <w:sz w:val="20"/>
          <w:szCs w:val="20"/>
          <w:color w:val="auto"/>
        </w:rPr>
      </w:pPr>
    </w:p>
    <w:p>
      <w:pPr>
        <w:jc w:val="both"/>
        <w:ind w:left="760" w:right="40"/>
        <w:spacing w:after="0" w:line="269" w:lineRule="auto"/>
        <w:rPr>
          <w:sz w:val="20"/>
          <w:szCs w:val="20"/>
          <w:color w:val="auto"/>
        </w:rPr>
      </w:pPr>
      <w:r>
        <w:rPr>
          <w:rFonts w:ascii="Arial" w:cs="Arial" w:eastAsia="Arial" w:hAnsi="Arial"/>
          <w:sz w:val="16"/>
          <w:szCs w:val="16"/>
          <w:color w:val="auto"/>
        </w:rPr>
        <w:t>The following is a brief description of the U.S. federal income tax consequences generally arising with respect to grants of awards under the 2026 Plan. This description is not intended to, and does not, provide or supplement tax advice to award participants. Participants are advised to consult with their own independent tax advisors with respect to the specific tax consequences that, in light of their particular circumstances, might arise in connection with their receipt of awards under the 2026 Plan, including any state, local or foreign tax consequences and the effect, if any, of gift, estate and inheritance taxes.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Incentive Stock Options</w:t>
      </w:r>
    </w:p>
    <w:p>
      <w:pPr>
        <w:spacing w:after="0" w:line="149"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A participant will not recognize taxable income upon exercising an incentive stock option (an “ISO”), provided that the participant was, without a break in service, an employee of the Company or one of its subsidiaries during the period beginning on the date of the grant of the option and ending on the date three months prior to the date of exercise (one year prior to the date of exercise if the participant is disabled, as that term is defined in the Internal Revenue Code). Notwithstanding the foregoing, the alternative minimum tax may apply. Upon a disposition of shares acquired upon exercise of an ISO before the end of the applicable ISO holding periods, the participant generally will recognize ordinary income equal to the lesser of  (a) the excess of the fair market value of the shares at the date of exercise of the ISO over the exercise price or (b) the amount realized upon the disposition of the ISO shares over the exercise price. Otherwise, a participant’s disposition of shares acquired upon the exercise of an ISO for which the statutory holding periods (defined as on or after the later of  (i) the second anniversary of the date of grant of the ISO and (ii) the first anniversary of the date of exercise of the ISO) are met generally will result in long-term capital gain or loss measured by the difference between the sale price and the participant’s tax basis in such shares (the tax basis in the acquired shares of shares for which the ISO holding periods are met generally being the exercise price of the ISO).</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Non-Qualified Stock Options and Stock Appreciation Rights</w:t>
      </w:r>
    </w:p>
    <w:p>
      <w:pPr>
        <w:spacing w:after="0" w:line="162"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The grant of a non-qualified stock option (i.e., an option other than an ISO) or SAR will create no tax consequences at the grant date for the participant or the Company. Upon exercising such an option or SAR, the participant will recognize ordinary income equal to the excess of the fair market value of the vested shares (and/or cash or other property) acquired on the date of exercise over the exercise price and will be subject to FICA (Social Security and Medicare) tax in respect of such amounts. A participant’s disposition of shares acquired upon the exercise of a non-qualified stock option or SAR generally will result in long- or short-term capital gain or loss measured by the difference between the sale price and the participant’s tax basis in such shares (the tax basis in the acquired shares generally being the exercise price plus any amount recognized as ordinary income in connection with the exercise of the option).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Restricted Shares</w:t>
      </w:r>
    </w:p>
    <w:p>
      <w:pPr>
        <w:spacing w:after="0" w:line="162"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A participant with restricted shares generally will not be subject to income taxation at grant. Instead, upon lapse of the restrictions, the participant will recognize ordinary income equal to the fair market value of the shares on the date of lapse. The participant’s tax basis in the shares received will be equal to the fair market value of the shares on the date the restrictions lapse, and the participant’s holding period in such shares begins on the day after the restrictions lapse.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Restricted Stock Units</w:t>
      </w:r>
    </w:p>
    <w:p>
      <w:pPr>
        <w:spacing w:after="0" w:line="162"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A participant with a restricted stock unit (whether time-vested or subject to achievement of performance goals) will not be subject to income taxation at grant. Instead, the participant will be subject to income tax at ordinary rates on the fair market value of the shares (or the amount of cash) received on the date of delivery. The recipient will be subject to FICA (Social Security and Medicare) tax at the time any portion of such award is deemed vested for tax purposes. The fair market</w:t>
      </w:r>
    </w:p>
    <w:p>
      <w:pPr>
        <w:spacing w:after="0" w:line="200" w:lineRule="exact"/>
        <w:rPr>
          <w:sz w:val="20"/>
          <w:szCs w:val="20"/>
          <w:color w:val="auto"/>
        </w:rPr>
      </w:pPr>
    </w:p>
    <w:p>
      <w:pPr>
        <w:spacing w:after="0" w:line="229"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FIVE: APPROVAL OF THE UPBOUND GROUP, INC. 2026 LONG-TERM INCENTIVE PLAN</w:t>
      </w:r>
    </w:p>
    <w:p>
      <w:pPr>
        <w:spacing w:after="0" w:line="370"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6"/>
          <w:szCs w:val="16"/>
          <w:color w:val="auto"/>
        </w:rPr>
        <w:t>value of the shares (if any) received on the delivery date will be the participant’s tax basis for purposes of determining any subsequent gain or loss from the sale of the shares, and the recipient’s holding period with respect to such shares will begin at the delivery date. Gain or loss resulting from any sale of shares delivered to a participant will be treated as long- or short-term capital gain or loss depending on the holding period. If any dividend equivalent amounts are provided to the participant, they will be includible in the participant’s income as additional compensation (and not as dividend income) and will be subject to income and employment tax withholding.</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Disposition of Shares</w:t>
      </w:r>
    </w:p>
    <w:p>
      <w:pPr>
        <w:spacing w:after="0" w:line="149" w:lineRule="exact"/>
        <w:rPr>
          <w:sz w:val="20"/>
          <w:szCs w:val="20"/>
          <w:color w:val="auto"/>
        </w:rPr>
      </w:pPr>
    </w:p>
    <w:p>
      <w:pPr>
        <w:jc w:val="both"/>
        <w:ind w:left="760" w:right="760"/>
        <w:spacing w:after="0" w:line="259" w:lineRule="auto"/>
        <w:rPr>
          <w:sz w:val="20"/>
          <w:szCs w:val="20"/>
          <w:color w:val="auto"/>
        </w:rPr>
      </w:pPr>
      <w:r>
        <w:rPr>
          <w:rFonts w:ascii="Arial" w:cs="Arial" w:eastAsia="Arial" w:hAnsi="Arial"/>
          <w:sz w:val="16"/>
          <w:szCs w:val="16"/>
          <w:color w:val="auto"/>
        </w:rPr>
        <w:t>Unless stated otherwise above, upon the subsequent disposition of shares acquired under any of the preceding awards, a participant will recognize capital gain or loss based upon the difference between the amount realized on such disposition and the participant’s basis in the shares, and such amount will be long-term capital gain or loss if such shares were held for more than 12 months. Capital gain is generally taxed at a maximum rate of 20% if the property is held more than one year.</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Cash Awards</w:t>
      </w:r>
    </w:p>
    <w:p>
      <w:pPr>
        <w:spacing w:after="0" w:line="162" w:lineRule="exact"/>
        <w:rPr>
          <w:sz w:val="20"/>
          <w:szCs w:val="20"/>
          <w:color w:val="auto"/>
        </w:rPr>
      </w:pPr>
    </w:p>
    <w:p>
      <w:pPr>
        <w:jc w:val="both"/>
        <w:ind w:left="760" w:right="760"/>
        <w:spacing w:after="0" w:line="259" w:lineRule="auto"/>
        <w:rPr>
          <w:sz w:val="20"/>
          <w:szCs w:val="20"/>
          <w:color w:val="auto"/>
        </w:rPr>
      </w:pPr>
      <w:r>
        <w:rPr>
          <w:rFonts w:ascii="Arial" w:cs="Arial" w:eastAsia="Arial" w:hAnsi="Arial"/>
          <w:sz w:val="16"/>
          <w:szCs w:val="16"/>
          <w:color w:val="auto"/>
        </w:rPr>
        <w:t>A participant who receives a cash award will not recognize any taxable income for federal income tax purposes at grant, provided that no cash is actually paid at the time of grant. Upon the payment of any cash in satisfaction of the cash incentive award, the participant will realize ordinary income in an amount equal to the cash award received and the Company will be entitled to a corresponding deduction.</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Deduction</w:t>
      </w:r>
    </w:p>
    <w:p>
      <w:pPr>
        <w:spacing w:after="0" w:line="162"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6"/>
          <w:szCs w:val="16"/>
          <w:color w:val="auto"/>
        </w:rPr>
        <w:t>The Company generally will be entitled to a tax deduction equal to the amount recognized as ordinary income by the recipient in connection with the delivery of shares pursuant to a restricted stock unit or a performance stock unit, the exercise of an option or SAR or the lapse of restrictions on restricted shares. The Company will not be entitled to any tax deduction with respect to an ISO if the recipient holds the shares for the ISO holding periods prior to disposition of shares and is generally not entitled to a tax deduction for any award with respect to any amount that represents compensation in excess of  $1 million paid to “covered employees” under Section 162(m) of the Internal Revenue Code.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Burn Rate and Overhang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Burn Rate</w:t>
      </w:r>
    </w:p>
    <w:p>
      <w:pPr>
        <w:spacing w:after="0" w:line="162" w:lineRule="exact"/>
        <w:rPr>
          <w:sz w:val="20"/>
          <w:szCs w:val="20"/>
          <w:color w:val="auto"/>
        </w:rPr>
      </w:pPr>
    </w:p>
    <w:p>
      <w:pPr>
        <w:jc w:val="both"/>
        <w:ind w:left="760" w:right="780"/>
        <w:spacing w:after="0" w:line="304" w:lineRule="auto"/>
        <w:rPr>
          <w:sz w:val="20"/>
          <w:szCs w:val="20"/>
          <w:color w:val="auto"/>
        </w:rPr>
      </w:pPr>
      <w:r>
        <w:rPr>
          <w:rFonts w:ascii="Arial" w:cs="Arial" w:eastAsia="Arial" w:hAnsi="Arial"/>
          <w:sz w:val="16"/>
          <w:szCs w:val="16"/>
          <w:color w:val="auto"/>
        </w:rPr>
        <w:t>The following table provides detailed information regarding the activity related to our equity incentive plans for the years 2023, 2024 and 2025.</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Basic</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
              <w:spacing w:after="0"/>
              <w:rPr>
                <w:sz w:val="20"/>
                <w:szCs w:val="20"/>
                <w:color w:val="auto"/>
              </w:rPr>
            </w:pPr>
            <w:r>
              <w:rPr>
                <w:rFonts w:ascii="Arial" w:cs="Arial" w:eastAsia="Arial" w:hAnsi="Arial"/>
                <w:sz w:val="15"/>
                <w:szCs w:val="15"/>
                <w:b w:val="1"/>
                <w:bCs w:val="1"/>
                <w:color w:val="auto"/>
              </w:rPr>
              <w:t>Time-Based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b w:val="1"/>
                <w:bCs w:val="1"/>
                <w:color w:val="auto"/>
              </w:rPr>
              <w:t>Target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5"/>
                <w:szCs w:val="15"/>
                <w:b w:val="1"/>
                <w:bCs w:val="1"/>
                <w:color w:val="auto"/>
              </w:rPr>
              <w:t>Options</w:t>
            </w:r>
          </w:p>
        </w:tc>
        <w:tc>
          <w:tcPr>
            <w:tcW w:w="200" w:type="dxa"/>
            <w:vAlign w:val="bottom"/>
          </w:tcPr>
          <w:p>
            <w:pPr>
              <w:spacing w:after="0"/>
              <w:rPr>
                <w:sz w:val="15"/>
                <w:szCs w:val="15"/>
                <w:color w:val="auto"/>
              </w:rPr>
            </w:pPr>
          </w:p>
        </w:tc>
        <w:tc>
          <w:tcPr>
            <w:tcW w:w="1300" w:type="dxa"/>
            <w:vAlign w:val="bottom"/>
          </w:tcPr>
          <w:p>
            <w:pPr>
              <w:jc w:val="right"/>
              <w:ind w:right="2"/>
              <w:spacing w:after="0"/>
              <w:rPr>
                <w:sz w:val="20"/>
                <w:szCs w:val="20"/>
                <w:color w:val="auto"/>
              </w:rPr>
            </w:pPr>
            <w:r>
              <w:rPr>
                <w:rFonts w:ascii="Arial" w:cs="Arial" w:eastAsia="Arial" w:hAnsi="Arial"/>
                <w:sz w:val="15"/>
                <w:szCs w:val="15"/>
                <w:b w:val="1"/>
                <w:bCs w:val="1"/>
                <w:color w:val="auto"/>
              </w:rPr>
              <w:t>Full Value</w:t>
            </w:r>
          </w:p>
        </w:tc>
        <w:tc>
          <w:tcPr>
            <w:tcW w:w="180" w:type="dxa"/>
            <w:vAlign w:val="bottom"/>
          </w:tcPr>
          <w:p>
            <w:pPr>
              <w:spacing w:after="0"/>
              <w:rPr>
                <w:sz w:val="15"/>
                <w:szCs w:val="15"/>
                <w:color w:val="auto"/>
              </w:rPr>
            </w:pPr>
          </w:p>
        </w:tc>
        <w:tc>
          <w:tcPr>
            <w:tcW w:w="150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Performance-Based</w:t>
            </w:r>
          </w:p>
        </w:tc>
        <w:tc>
          <w:tcPr>
            <w:tcW w:w="1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5"/>
                <w:szCs w:val="15"/>
                <w:b w:val="1"/>
                <w:bCs w:val="1"/>
                <w:color w:val="auto"/>
              </w:rPr>
              <w:t>Performance-Based</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b w:val="1"/>
                <w:bCs w:val="1"/>
                <w:color w:val="auto"/>
              </w:rPr>
              <w:t>Burn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60"/>
              <w:spacing w:after="0" w:line="167" w:lineRule="exact"/>
              <w:rPr>
                <w:sz w:val="20"/>
                <w:szCs w:val="20"/>
                <w:color w:val="auto"/>
              </w:rPr>
            </w:pPr>
            <w:r>
              <w:rPr>
                <w:rFonts w:ascii="Arial" w:cs="Arial" w:eastAsia="Arial" w:hAnsi="Arial"/>
                <w:sz w:val="15"/>
                <w:szCs w:val="15"/>
                <w:b w:val="1"/>
                <w:bCs w:val="1"/>
                <w:color w:val="auto"/>
              </w:rPr>
              <w:t>Year</w:t>
            </w:r>
          </w:p>
        </w:tc>
        <w:tc>
          <w:tcPr>
            <w:tcW w:w="220" w:type="dxa"/>
            <w:vAlign w:val="bottom"/>
          </w:tcPr>
          <w:p>
            <w:pPr>
              <w:spacing w:after="0"/>
              <w:rPr>
                <w:sz w:val="14"/>
                <w:szCs w:val="14"/>
                <w:color w:val="auto"/>
              </w:rPr>
            </w:pPr>
          </w:p>
        </w:tc>
        <w:tc>
          <w:tcPr>
            <w:tcW w:w="640" w:type="dxa"/>
            <w:vAlign w:val="bottom"/>
          </w:tcPr>
          <w:p>
            <w:pPr>
              <w:ind w:left="40"/>
              <w:spacing w:after="0" w:line="167" w:lineRule="exact"/>
              <w:rPr>
                <w:sz w:val="20"/>
                <w:szCs w:val="20"/>
                <w:color w:val="auto"/>
              </w:rPr>
            </w:pPr>
            <w:r>
              <w:rPr>
                <w:rFonts w:ascii="Arial" w:cs="Arial" w:eastAsia="Arial" w:hAnsi="Arial"/>
                <w:sz w:val="15"/>
                <w:szCs w:val="15"/>
                <w:b w:val="1"/>
                <w:bCs w:val="1"/>
                <w:color w:val="auto"/>
              </w:rPr>
              <w:t>Granted</w:t>
            </w:r>
          </w:p>
        </w:tc>
        <w:tc>
          <w:tcPr>
            <w:tcW w:w="2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w:t>
            </w:r>
          </w:p>
        </w:tc>
        <w:tc>
          <w:tcPr>
            <w:tcW w:w="1300" w:type="dxa"/>
            <w:vAlign w:val="bottom"/>
          </w:tcPr>
          <w:p>
            <w:pPr>
              <w:spacing w:after="0" w:line="167" w:lineRule="exact"/>
              <w:rPr>
                <w:sz w:val="20"/>
                <w:szCs w:val="20"/>
                <w:color w:val="auto"/>
              </w:rPr>
            </w:pPr>
            <w:r>
              <w:rPr>
                <w:rFonts w:ascii="Arial" w:cs="Arial" w:eastAsia="Arial" w:hAnsi="Arial"/>
                <w:sz w:val="15"/>
                <w:szCs w:val="15"/>
                <w:b w:val="1"/>
                <w:bCs w:val="1"/>
                <w:color w:val="auto"/>
                <w:w w:val="97"/>
              </w:rPr>
              <w:t>Awards Granted</w:t>
            </w:r>
            <w:r>
              <w:rPr>
                <w:rFonts w:ascii="Arial" w:cs="Arial" w:eastAsia="Arial" w:hAnsi="Arial"/>
                <w:sz w:val="19"/>
                <w:szCs w:val="19"/>
                <w:b w:val="1"/>
                <w:bCs w:val="1"/>
                <w:color w:val="auto"/>
                <w:w w:val="97"/>
                <w:vertAlign w:val="superscript"/>
              </w:rPr>
              <w:t>(1)</w:t>
            </w:r>
          </w:p>
        </w:tc>
        <w:tc>
          <w:tcPr>
            <w:tcW w:w="3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 ​</w:t>
            </w:r>
          </w:p>
        </w:tc>
        <w:tc>
          <w:tcPr>
            <w:tcW w:w="1380" w:type="dxa"/>
            <w:vAlign w:val="bottom"/>
          </w:tcPr>
          <w:p>
            <w:pPr>
              <w:ind w:left="80"/>
              <w:spacing w:after="0" w:line="167" w:lineRule="exact"/>
              <w:rPr>
                <w:sz w:val="20"/>
                <w:szCs w:val="20"/>
                <w:color w:val="auto"/>
              </w:rPr>
            </w:pPr>
            <w:r>
              <w:rPr>
                <w:rFonts w:ascii="Arial" w:cs="Arial" w:eastAsia="Arial" w:hAnsi="Arial"/>
                <w:sz w:val="15"/>
                <w:szCs w:val="15"/>
                <w:b w:val="1"/>
                <w:bCs w:val="1"/>
                <w:color w:val="auto"/>
                <w:w w:val="97"/>
              </w:rPr>
              <w:t>Awards Granted</w:t>
            </w:r>
            <w:r>
              <w:rPr>
                <w:rFonts w:ascii="Arial" w:cs="Arial" w:eastAsia="Arial" w:hAnsi="Arial"/>
                <w:sz w:val="19"/>
                <w:szCs w:val="19"/>
                <w:b w:val="1"/>
                <w:bCs w:val="1"/>
                <w:color w:val="auto"/>
                <w:w w:val="97"/>
                <w:vertAlign w:val="superscript"/>
              </w:rPr>
              <w:t>(2)</w:t>
            </w:r>
          </w:p>
        </w:tc>
        <w:tc>
          <w:tcPr>
            <w:tcW w:w="3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 ​</w:t>
            </w:r>
          </w:p>
        </w:tc>
        <w:tc>
          <w:tcPr>
            <w:tcW w:w="13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Awards Earned</w:t>
            </w:r>
            <w:r>
              <w:rPr>
                <w:rFonts w:ascii="Arial" w:cs="Arial" w:eastAsia="Arial" w:hAnsi="Arial"/>
                <w:sz w:val="19"/>
                <w:szCs w:val="19"/>
                <w:b w:val="1"/>
                <w:bCs w:val="1"/>
                <w:color w:val="auto"/>
                <w:vertAlign w:val="superscript"/>
              </w:rPr>
              <w:t>(2)</w:t>
            </w:r>
          </w:p>
        </w:tc>
        <w:tc>
          <w:tcPr>
            <w:tcW w:w="200" w:type="dxa"/>
            <w:vAlign w:val="bottom"/>
          </w:tcPr>
          <w:p>
            <w:pPr>
              <w:spacing w:after="0"/>
              <w:rPr>
                <w:sz w:val="14"/>
                <w:szCs w:val="14"/>
                <w:color w:val="auto"/>
              </w:rPr>
            </w:pPr>
          </w:p>
        </w:tc>
        <w:tc>
          <w:tcPr>
            <w:tcW w:w="900" w:type="dxa"/>
            <w:vAlign w:val="bottom"/>
          </w:tcPr>
          <w:p>
            <w:pPr>
              <w:spacing w:after="0" w:line="167" w:lineRule="exact"/>
              <w:rPr>
                <w:sz w:val="20"/>
                <w:szCs w:val="20"/>
                <w:color w:val="auto"/>
              </w:rPr>
            </w:pPr>
            <w:r>
              <w:rPr>
                <w:rFonts w:ascii="Arial" w:cs="Arial" w:eastAsia="Arial" w:hAnsi="Arial"/>
                <w:sz w:val="15"/>
                <w:szCs w:val="15"/>
                <w:b w:val="1"/>
                <w:bCs w:val="1"/>
                <w:color w:val="auto"/>
                <w:w w:val="99"/>
              </w:rPr>
              <w:t>Outstanding</w:t>
            </w:r>
          </w:p>
        </w:tc>
        <w:tc>
          <w:tcPr>
            <w:tcW w:w="2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 ​</w:t>
            </w:r>
          </w:p>
        </w:tc>
        <w:tc>
          <w:tcPr>
            <w:tcW w:w="4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1"/>
              </w:rPr>
              <w:t>Rate</w:t>
            </w:r>
            <w:r>
              <w:rPr>
                <w:rFonts w:ascii="Arial" w:cs="Arial" w:eastAsia="Arial" w:hAnsi="Arial"/>
                <w:sz w:val="19"/>
                <w:szCs w:val="19"/>
                <w:b w:val="1"/>
                <w:bCs w:val="1"/>
                <w:color w:val="auto"/>
                <w:w w:val="91"/>
                <w:vertAlign w:val="superscript"/>
              </w:rPr>
              <w:t>(3)</w:t>
            </w:r>
          </w:p>
        </w:tc>
        <w:tc>
          <w:tcPr>
            <w:tcW w:w="10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600" w:type="dxa"/>
            <w:vAlign w:val="bottom"/>
            <w:tcBorders>
              <w:bottom w:val="single" w:sz="8" w:color="auto"/>
            </w:tcBorders>
          </w:tcPr>
          <w:p>
            <w:pPr>
              <w:ind w:left="60"/>
              <w:spacing w:after="0" w:line="68" w:lineRule="exact"/>
              <w:rPr>
                <w:sz w:val="20"/>
                <w:szCs w:val="20"/>
                <w:color w:val="auto"/>
              </w:rPr>
            </w:pPr>
            <w:r>
              <w:rPr>
                <w:rFonts w:ascii="Arial" w:cs="Arial" w:eastAsia="Arial" w:hAnsi="Arial"/>
                <w:sz w:val="7"/>
                <w:szCs w:val="7"/>
                <w:b w:val="1"/>
                <w:bCs w:val="1"/>
                <w:color w:val="auto"/>
              </w:rPr>
              <w:t>​</w:t>
            </w:r>
          </w:p>
        </w:tc>
        <w:tc>
          <w:tcPr>
            <w:tcW w:w="860" w:type="dxa"/>
            <w:vAlign w:val="bottom"/>
            <w:tcBorders>
              <w:bottom w:val="single" w:sz="8" w:color="auto"/>
            </w:tcBorders>
            <w:gridSpan w:val="2"/>
          </w:tcPr>
          <w:p>
            <w:pPr>
              <w:ind w:left="140"/>
              <w:spacing w:after="0" w:line="68" w:lineRule="exact"/>
              <w:rPr>
                <w:sz w:val="20"/>
                <w:szCs w:val="20"/>
                <w:color w:val="auto"/>
              </w:rPr>
            </w:pPr>
            <w:r>
              <w:rPr>
                <w:rFonts w:ascii="Arial" w:cs="Arial" w:eastAsia="Arial" w:hAnsi="Arial"/>
                <w:sz w:val="7"/>
                <w:szCs w:val="7"/>
                <w:b w:val="1"/>
                <w:bCs w:val="1"/>
                <w:color w:val="auto"/>
              </w:rPr>
              <w:t>​ ​</w:t>
            </w:r>
          </w:p>
        </w:tc>
        <w:tc>
          <w:tcPr>
            <w:tcW w:w="20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gridSpan w:val="2"/>
            <w:vMerge w:val="continue"/>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2"/>
          </w:tcPr>
          <w:p>
            <w:pPr>
              <w:ind w:left="100"/>
              <w:spacing w:after="0" w:line="68" w:lineRule="exact"/>
              <w:rPr>
                <w:sz w:val="20"/>
                <w:szCs w:val="20"/>
                <w:color w:val="auto"/>
              </w:rPr>
            </w:pPr>
            <w:r>
              <w:rPr>
                <w:rFonts w:ascii="Arial" w:cs="Arial" w:eastAsia="Arial" w:hAnsi="Arial"/>
                <w:sz w:val="7"/>
                <w:szCs w:val="7"/>
                <w:b w:val="1"/>
                <w:bCs w:val="1"/>
                <w:color w:val="auto"/>
              </w:rPr>
              <w:t>​ ​</w:t>
            </w:r>
          </w:p>
        </w:tc>
        <w:tc>
          <w:tcPr>
            <w:tcW w:w="240" w:type="dxa"/>
            <w:vAlign w:val="bottom"/>
            <w:tcBorders>
              <w:bottom w:val="single" w:sz="8" w:color="auto"/>
            </w:tcBorders>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0" w:type="dxa"/>
            <w:vAlign w:val="bottom"/>
          </w:tcPr>
          <w:p>
            <w:pPr>
              <w:ind w:left="60"/>
              <w:spacing w:after="0" w:line="169" w:lineRule="exact"/>
              <w:rPr>
                <w:sz w:val="20"/>
                <w:szCs w:val="20"/>
                <w:color w:val="auto"/>
              </w:rPr>
            </w:pPr>
            <w:r>
              <w:rPr>
                <w:rFonts w:ascii="Arial" w:cs="Arial" w:eastAsia="Arial" w:hAnsi="Arial"/>
                <w:sz w:val="15"/>
                <w:szCs w:val="15"/>
                <w:color w:val="auto"/>
              </w:rPr>
              <w:t>2025</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uto"/>
              </w:rPr>
              <w:t>​ ​</w:t>
            </w:r>
          </w:p>
        </w:tc>
        <w:tc>
          <w:tcPr>
            <w:tcW w:w="640" w:type="dxa"/>
            <w:vAlign w:val="bottom"/>
          </w:tcPr>
          <w:p>
            <w:pPr>
              <w:ind w:left="460"/>
              <w:spacing w:after="0" w:line="169" w:lineRule="exact"/>
              <w:rPr>
                <w:sz w:val="20"/>
                <w:szCs w:val="20"/>
                <w:color w:val="auto"/>
              </w:rPr>
            </w:pPr>
            <w:r>
              <w:rPr>
                <w:rFonts w:ascii="Arial" w:cs="Arial" w:eastAsia="Arial" w:hAnsi="Arial"/>
                <w:sz w:val="15"/>
                <w:szCs w:val="15"/>
                <w:color w:val="auto"/>
              </w:rPr>
              <w:t>​—</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1300" w:type="dxa"/>
            <w:vAlign w:val="bottom"/>
          </w:tcPr>
          <w:p>
            <w:pPr>
              <w:ind w:left="740"/>
              <w:spacing w:after="0" w:line="169" w:lineRule="exact"/>
              <w:rPr>
                <w:sz w:val="20"/>
                <w:szCs w:val="20"/>
                <w:color w:val="auto"/>
              </w:rPr>
            </w:pPr>
            <w:r>
              <w:rPr>
                <w:rFonts w:ascii="Arial" w:cs="Arial" w:eastAsia="Arial" w:hAnsi="Arial"/>
                <w:sz w:val="15"/>
                <w:szCs w:val="15"/>
                <w:color w:val="auto"/>
                <w:w w:val="99"/>
              </w:rPr>
              <w:t>929,756</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1380" w:type="dxa"/>
            <w:vAlign w:val="bottom"/>
          </w:tcPr>
          <w:p>
            <w:pPr>
              <w:ind w:left="760"/>
              <w:spacing w:after="0" w:line="169" w:lineRule="exact"/>
              <w:rPr>
                <w:sz w:val="20"/>
                <w:szCs w:val="20"/>
                <w:color w:val="auto"/>
              </w:rPr>
            </w:pPr>
            <w:r>
              <w:rPr>
                <w:rFonts w:ascii="Arial" w:cs="Arial" w:eastAsia="Arial" w:hAnsi="Arial"/>
                <w:sz w:val="15"/>
                <w:szCs w:val="15"/>
                <w:color w:val="auto"/>
              </w:rPr>
              <w:t>​757,704</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60" w:type="dxa"/>
            <w:vAlign w:val="bottom"/>
          </w:tcPr>
          <w:p>
            <w:pPr>
              <w:spacing w:after="0"/>
              <w:rPr>
                <w:sz w:val="14"/>
                <w:szCs w:val="14"/>
                <w:color w:val="auto"/>
              </w:rPr>
            </w:pPr>
          </w:p>
        </w:tc>
        <w:tc>
          <w:tcPr>
            <w:tcW w:w="1340" w:type="dxa"/>
            <w:vAlign w:val="bottom"/>
            <w:gridSpan w:val="2"/>
          </w:tcPr>
          <w:p>
            <w:pPr>
              <w:ind w:left="740"/>
              <w:spacing w:after="0" w:line="169" w:lineRule="exact"/>
              <w:rPr>
                <w:sz w:val="20"/>
                <w:szCs w:val="20"/>
                <w:color w:val="auto"/>
              </w:rPr>
            </w:pPr>
            <w:r>
              <w:rPr>
                <w:rFonts w:ascii="Arial" w:cs="Arial" w:eastAsia="Arial" w:hAnsi="Arial"/>
                <w:sz w:val="15"/>
                <w:szCs w:val="15"/>
                <w:color w:val="auto"/>
              </w:rPr>
              <w:t>​402,085</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900" w:type="dxa"/>
            <w:vAlign w:val="bottom"/>
          </w:tcPr>
          <w:p>
            <w:pPr>
              <w:ind w:left="140"/>
              <w:spacing w:after="0" w:line="169" w:lineRule="exact"/>
              <w:rPr>
                <w:sz w:val="20"/>
                <w:szCs w:val="20"/>
                <w:color w:val="auto"/>
              </w:rPr>
            </w:pPr>
            <w:r>
              <w:rPr>
                <w:rFonts w:ascii="Arial" w:cs="Arial" w:eastAsia="Arial" w:hAnsi="Arial"/>
                <w:sz w:val="15"/>
                <w:szCs w:val="15"/>
                <w:color w:val="auto"/>
                <w:w w:val="98"/>
              </w:rPr>
              <w:t>56,479,000</w:t>
            </w:r>
          </w:p>
        </w:tc>
        <w:tc>
          <w:tcPr>
            <w:tcW w:w="240" w:type="dxa"/>
            <w:vAlign w:val="bottom"/>
            <w:vMerge w:val="restart"/>
          </w:tcPr>
          <w:p>
            <w:pPr>
              <w:spacing w:after="0"/>
              <w:rPr>
                <w:sz w:val="20"/>
                <w:szCs w:val="20"/>
                <w:color w:val="auto"/>
              </w:rPr>
            </w:pPr>
            <w:r>
              <w:rPr>
                <w:rFonts w:ascii="Arial" w:cs="Arial" w:eastAsia="Arial" w:hAnsi="Arial"/>
                <w:sz w:val="15"/>
                <w:szCs w:val="15"/>
                <w:color w:val="auto"/>
              </w:rPr>
              <w:t>​​ ​</w:t>
            </w:r>
          </w:p>
        </w:tc>
        <w:tc>
          <w:tcPr>
            <w:tcW w:w="5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54"/>
        </w:trPr>
        <w:tc>
          <w:tcPr>
            <w:tcW w:w="1600" w:type="dxa"/>
            <w:vAlign w:val="bottom"/>
          </w:tcPr>
          <w:p>
            <w:pPr>
              <w:ind w:left="40"/>
              <w:spacing w:after="0" w:line="54"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640" w:type="dxa"/>
            <w:vAlign w:val="bottom"/>
          </w:tcPr>
          <w:p>
            <w:pPr>
              <w:ind w:left="460"/>
              <w:spacing w:after="0" w:line="54"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1300" w:type="dxa"/>
            <w:vAlign w:val="bottom"/>
          </w:tcPr>
          <w:p>
            <w:pPr>
              <w:ind w:left="740"/>
              <w:spacing w:after="0" w:line="54" w:lineRule="exact"/>
              <w:rPr>
                <w:sz w:val="20"/>
                <w:szCs w:val="20"/>
                <w:color w:val="auto"/>
              </w:rPr>
            </w:pPr>
            <w:r>
              <w:rPr>
                <w:rFonts w:ascii="Arial" w:cs="Arial" w:eastAsia="Arial" w:hAnsi="Arial"/>
                <w:sz w:val="5"/>
                <w:szCs w:val="5"/>
                <w:color w:val="auto"/>
              </w:rPr>
              <w:t>​</w:t>
            </w:r>
          </w:p>
        </w:tc>
        <w:tc>
          <w:tcPr>
            <w:tcW w:w="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ind w:left="740"/>
              <w:spacing w:after="0" w:line="54" w:lineRule="exact"/>
              <w:rPr>
                <w:sz w:val="20"/>
                <w:szCs w:val="20"/>
                <w:color w:val="auto"/>
              </w:rPr>
            </w:pPr>
            <w:r>
              <w:rPr>
                <w:rFonts w:ascii="Arial" w:cs="Arial" w:eastAsia="Arial" w:hAnsi="Arial"/>
                <w:sz w:val="5"/>
                <w:szCs w:val="5"/>
                <w:color w:val="auto"/>
              </w:rPr>
              <w:t>​</w:t>
            </w:r>
          </w:p>
        </w:tc>
        <w:tc>
          <w:tcPr>
            <w:tcW w:w="1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ind w:left="700"/>
              <w:spacing w:after="0" w:line="54" w:lineRule="exact"/>
              <w:rPr>
                <w:sz w:val="20"/>
                <w:szCs w:val="20"/>
                <w:color w:val="auto"/>
              </w:rPr>
            </w:pPr>
            <w:r>
              <w:rPr>
                <w:rFonts w:ascii="Arial" w:cs="Arial" w:eastAsia="Arial" w:hAnsi="Arial"/>
                <w:sz w:val="5"/>
                <w:szCs w:val="5"/>
                <w:color w:val="auto"/>
              </w:rPr>
              <w:t>​</w:t>
            </w:r>
          </w:p>
        </w:tc>
        <w:tc>
          <w:tcPr>
            <w:tcW w:w="5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tcPr>
          <w:p>
            <w:pPr>
              <w:ind w:left="140"/>
              <w:spacing w:after="0" w:line="54" w:lineRule="exact"/>
              <w:rPr>
                <w:sz w:val="20"/>
                <w:szCs w:val="20"/>
                <w:color w:val="auto"/>
              </w:rPr>
            </w:pPr>
            <w:r>
              <w:rPr>
                <w:rFonts w:ascii="Arial" w:cs="Arial" w:eastAsia="Arial" w:hAnsi="Arial"/>
                <w:sz w:val="5"/>
                <w:szCs w:val="5"/>
                <w:color w:val="auto"/>
              </w:rPr>
              <w:t>​</w:t>
            </w:r>
          </w:p>
        </w:tc>
        <w:tc>
          <w:tcPr>
            <w:tcW w:w="240" w:type="dxa"/>
            <w:vAlign w:val="bottom"/>
            <w:vMerge w:val="continue"/>
          </w:tcPr>
          <w:p>
            <w:pPr>
              <w:spacing w:after="0"/>
              <w:rPr>
                <w:sz w:val="4"/>
                <w:szCs w:val="4"/>
                <w:color w:val="auto"/>
              </w:rPr>
            </w:pPr>
          </w:p>
        </w:tc>
        <w:tc>
          <w:tcPr>
            <w:tcW w:w="440" w:type="dxa"/>
            <w:vAlign w:val="bottom"/>
          </w:tcPr>
          <w:p>
            <w:pPr>
              <w:ind w:left="120"/>
              <w:spacing w:after="0" w:line="54" w:lineRule="exact"/>
              <w:rPr>
                <w:sz w:val="20"/>
                <w:szCs w:val="20"/>
                <w:color w:val="auto"/>
              </w:rPr>
            </w:pPr>
            <w:r>
              <w:rPr>
                <w:rFonts w:ascii="Arial" w:cs="Arial" w:eastAsia="Arial" w:hAnsi="Arial"/>
                <w:sz w:val="5"/>
                <w:szCs w:val="5"/>
                <w:color w:val="auto"/>
              </w:rPr>
              <w:t>​</w:t>
            </w:r>
          </w:p>
        </w:tc>
        <w:tc>
          <w:tcPr>
            <w:tcW w:w="140" w:type="dxa"/>
            <w:vAlign w:val="bottom"/>
            <w:gridSpan w:val="2"/>
          </w:tcPr>
          <w:p>
            <w:pPr>
              <w:jc w:val="right"/>
              <w:spacing w:after="0" w:line="54"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175"/>
        </w:trPr>
        <w:tc>
          <w:tcPr>
            <w:tcW w:w="1600" w:type="dxa"/>
            <w:vAlign w:val="bottom"/>
          </w:tcPr>
          <w:p>
            <w:pPr>
              <w:ind w:left="60"/>
              <w:spacing w:after="0"/>
              <w:rPr>
                <w:sz w:val="20"/>
                <w:szCs w:val="20"/>
                <w:color w:val="auto"/>
              </w:rPr>
            </w:pPr>
            <w:r>
              <w:rPr>
                <w:rFonts w:ascii="Arial" w:cs="Arial" w:eastAsia="Arial" w:hAnsi="Arial"/>
                <w:sz w:val="15"/>
                <w:szCs w:val="15"/>
                <w:color w:val="auto"/>
              </w:rPr>
              <w:t>2024</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uto"/>
              </w:rPr>
              <w:t>​ ​</w:t>
            </w:r>
          </w:p>
        </w:tc>
        <w:tc>
          <w:tcPr>
            <w:tcW w:w="640" w:type="dxa"/>
            <w:vAlign w:val="bottom"/>
          </w:tcPr>
          <w:p>
            <w:pPr>
              <w:ind w:left="460"/>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1300" w:type="dxa"/>
            <w:vAlign w:val="bottom"/>
          </w:tcPr>
          <w:p>
            <w:pPr>
              <w:ind w:left="740"/>
              <w:spacing w:after="0"/>
              <w:rPr>
                <w:sz w:val="20"/>
                <w:szCs w:val="20"/>
                <w:color w:val="auto"/>
              </w:rPr>
            </w:pPr>
            <w:r>
              <w:rPr>
                <w:rFonts w:ascii="Arial" w:cs="Arial" w:eastAsia="Arial" w:hAnsi="Arial"/>
                <w:sz w:val="15"/>
                <w:szCs w:val="15"/>
                <w:color w:val="auto"/>
                <w:w w:val="99"/>
              </w:rPr>
              <w:t>333,156</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5"/>
                <w:szCs w:val="15"/>
                <w:color w:val="auto"/>
              </w:rPr>
            </w:pPr>
          </w:p>
        </w:tc>
        <w:tc>
          <w:tcPr>
            <w:tcW w:w="1380" w:type="dxa"/>
            <w:vAlign w:val="bottom"/>
          </w:tcPr>
          <w:p>
            <w:pPr>
              <w:ind w:left="760"/>
              <w:spacing w:after="0"/>
              <w:rPr>
                <w:sz w:val="20"/>
                <w:szCs w:val="20"/>
                <w:color w:val="auto"/>
              </w:rPr>
            </w:pPr>
            <w:r>
              <w:rPr>
                <w:rFonts w:ascii="Arial" w:cs="Arial" w:eastAsia="Arial" w:hAnsi="Arial"/>
                <w:sz w:val="15"/>
                <w:szCs w:val="15"/>
                <w:color w:val="auto"/>
              </w:rPr>
              <w:t>​496,803</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60" w:type="dxa"/>
            <w:vAlign w:val="bottom"/>
          </w:tcPr>
          <w:p>
            <w:pPr>
              <w:spacing w:after="0"/>
              <w:rPr>
                <w:sz w:val="15"/>
                <w:szCs w:val="15"/>
                <w:color w:val="auto"/>
              </w:rPr>
            </w:pPr>
          </w:p>
        </w:tc>
        <w:tc>
          <w:tcPr>
            <w:tcW w:w="820" w:type="dxa"/>
            <w:vAlign w:val="bottom"/>
          </w:tcPr>
          <w:p>
            <w:pPr>
              <w:ind w:left="7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91,777</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900" w:type="dxa"/>
            <w:vAlign w:val="bottom"/>
          </w:tcPr>
          <w:p>
            <w:pPr>
              <w:ind w:left="140"/>
              <w:spacing w:after="0"/>
              <w:rPr>
                <w:sz w:val="20"/>
                <w:szCs w:val="20"/>
                <w:color w:val="auto"/>
              </w:rPr>
            </w:pPr>
            <w:r>
              <w:rPr>
                <w:rFonts w:ascii="Arial" w:cs="Arial" w:eastAsia="Arial" w:hAnsi="Arial"/>
                <w:sz w:val="15"/>
                <w:szCs w:val="15"/>
                <w:color w:val="auto"/>
                <w:w w:val="98"/>
              </w:rPr>
              <w:t>54,654,000</w:t>
            </w:r>
          </w:p>
        </w:tc>
        <w:tc>
          <w:tcPr>
            <w:tcW w:w="240" w:type="dxa"/>
            <w:vAlign w:val="bottom"/>
            <w:vMerge w:val="restart"/>
          </w:tcPr>
          <w:p>
            <w:pPr>
              <w:spacing w:after="0"/>
              <w:rPr>
                <w:sz w:val="20"/>
                <w:szCs w:val="20"/>
                <w:color w:val="auto"/>
              </w:rPr>
            </w:pPr>
            <w:r>
              <w:rPr>
                <w:rFonts w:ascii="Arial" w:cs="Arial" w:eastAsia="Arial" w:hAnsi="Arial"/>
                <w:sz w:val="15"/>
                <w:szCs w:val="15"/>
                <w:color w:val="auto"/>
              </w:rPr>
              <w:t>​​ ​</w:t>
            </w: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0.78%</w:t>
            </w:r>
          </w:p>
        </w:tc>
        <w:tc>
          <w:tcPr>
            <w:tcW w:w="0" w:type="dxa"/>
            <w:vAlign w:val="bottom"/>
          </w:tcPr>
          <w:p>
            <w:pPr>
              <w:spacing w:after="0"/>
              <w:rPr>
                <w:sz w:val="1"/>
                <w:szCs w:val="1"/>
                <w:color w:val="auto"/>
              </w:rPr>
            </w:pPr>
          </w:p>
        </w:tc>
      </w:tr>
      <w:tr>
        <w:trPr>
          <w:trHeight w:val="54"/>
        </w:trPr>
        <w:tc>
          <w:tcPr>
            <w:tcW w:w="1600" w:type="dxa"/>
            <w:vAlign w:val="bottom"/>
          </w:tcPr>
          <w:p>
            <w:pPr>
              <w:ind w:left="40"/>
              <w:spacing w:after="0" w:line="54"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640" w:type="dxa"/>
            <w:vAlign w:val="bottom"/>
          </w:tcPr>
          <w:p>
            <w:pPr>
              <w:ind w:left="460"/>
              <w:spacing w:after="0" w:line="54"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1300" w:type="dxa"/>
            <w:vAlign w:val="bottom"/>
          </w:tcPr>
          <w:p>
            <w:pPr>
              <w:ind w:left="740"/>
              <w:spacing w:after="0" w:line="54" w:lineRule="exact"/>
              <w:rPr>
                <w:sz w:val="20"/>
                <w:szCs w:val="20"/>
                <w:color w:val="auto"/>
              </w:rPr>
            </w:pPr>
            <w:r>
              <w:rPr>
                <w:rFonts w:ascii="Arial" w:cs="Arial" w:eastAsia="Arial" w:hAnsi="Arial"/>
                <w:sz w:val="5"/>
                <w:szCs w:val="5"/>
                <w:color w:val="auto"/>
              </w:rPr>
              <w:t>​</w:t>
            </w:r>
          </w:p>
        </w:tc>
        <w:tc>
          <w:tcPr>
            <w:tcW w:w="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ind w:left="740"/>
              <w:spacing w:after="0" w:line="54" w:lineRule="exact"/>
              <w:rPr>
                <w:sz w:val="20"/>
                <w:szCs w:val="20"/>
                <w:color w:val="auto"/>
              </w:rPr>
            </w:pPr>
            <w:r>
              <w:rPr>
                <w:rFonts w:ascii="Arial" w:cs="Arial" w:eastAsia="Arial" w:hAnsi="Arial"/>
                <w:sz w:val="5"/>
                <w:szCs w:val="5"/>
                <w:color w:val="auto"/>
              </w:rPr>
              <w:t>​</w:t>
            </w:r>
          </w:p>
        </w:tc>
        <w:tc>
          <w:tcPr>
            <w:tcW w:w="1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ind w:left="700"/>
              <w:spacing w:after="0" w:line="54" w:lineRule="exact"/>
              <w:rPr>
                <w:sz w:val="20"/>
                <w:szCs w:val="20"/>
                <w:color w:val="auto"/>
              </w:rPr>
            </w:pPr>
            <w:r>
              <w:rPr>
                <w:rFonts w:ascii="Arial" w:cs="Arial" w:eastAsia="Arial" w:hAnsi="Arial"/>
                <w:sz w:val="5"/>
                <w:szCs w:val="5"/>
                <w:color w:val="auto"/>
              </w:rPr>
              <w:t>​</w:t>
            </w:r>
          </w:p>
        </w:tc>
        <w:tc>
          <w:tcPr>
            <w:tcW w:w="5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tcPr>
          <w:p>
            <w:pPr>
              <w:ind w:left="140"/>
              <w:spacing w:after="0" w:line="54" w:lineRule="exact"/>
              <w:rPr>
                <w:sz w:val="20"/>
                <w:szCs w:val="20"/>
                <w:color w:val="auto"/>
              </w:rPr>
            </w:pPr>
            <w:r>
              <w:rPr>
                <w:rFonts w:ascii="Arial" w:cs="Arial" w:eastAsia="Arial" w:hAnsi="Arial"/>
                <w:sz w:val="5"/>
                <w:szCs w:val="5"/>
                <w:color w:val="auto"/>
              </w:rPr>
              <w:t>​</w:t>
            </w:r>
          </w:p>
        </w:tc>
        <w:tc>
          <w:tcPr>
            <w:tcW w:w="240" w:type="dxa"/>
            <w:vAlign w:val="bottom"/>
            <w:vMerge w:val="continue"/>
          </w:tcPr>
          <w:p>
            <w:pPr>
              <w:spacing w:after="0"/>
              <w:rPr>
                <w:sz w:val="4"/>
                <w:szCs w:val="4"/>
                <w:color w:val="auto"/>
              </w:rPr>
            </w:pPr>
          </w:p>
        </w:tc>
        <w:tc>
          <w:tcPr>
            <w:tcW w:w="440" w:type="dxa"/>
            <w:vAlign w:val="bottom"/>
          </w:tcPr>
          <w:p>
            <w:pPr>
              <w:ind w:left="120"/>
              <w:spacing w:after="0" w:line="54" w:lineRule="exact"/>
              <w:rPr>
                <w:sz w:val="20"/>
                <w:szCs w:val="20"/>
                <w:color w:val="auto"/>
              </w:rPr>
            </w:pPr>
            <w:r>
              <w:rPr>
                <w:rFonts w:ascii="Arial" w:cs="Arial" w:eastAsia="Arial" w:hAnsi="Arial"/>
                <w:sz w:val="5"/>
                <w:szCs w:val="5"/>
                <w:color w:val="auto"/>
              </w:rPr>
              <w:t>​</w:t>
            </w:r>
          </w:p>
        </w:tc>
        <w:tc>
          <w:tcPr>
            <w:tcW w:w="140" w:type="dxa"/>
            <w:vAlign w:val="bottom"/>
            <w:gridSpan w:val="2"/>
          </w:tcPr>
          <w:p>
            <w:pPr>
              <w:jc w:val="right"/>
              <w:spacing w:after="0" w:line="54"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175"/>
        </w:trPr>
        <w:tc>
          <w:tcPr>
            <w:tcW w:w="1600" w:type="dxa"/>
            <w:vAlign w:val="bottom"/>
          </w:tcPr>
          <w:p>
            <w:pPr>
              <w:ind w:left="60"/>
              <w:spacing w:after="0"/>
              <w:rPr>
                <w:sz w:val="20"/>
                <w:szCs w:val="20"/>
                <w:color w:val="auto"/>
              </w:rPr>
            </w:pPr>
            <w:r>
              <w:rPr>
                <w:rFonts w:ascii="Arial" w:cs="Arial" w:eastAsia="Arial" w:hAnsi="Arial"/>
                <w:sz w:val="15"/>
                <w:szCs w:val="15"/>
                <w:color w:val="auto"/>
              </w:rPr>
              <w:t>2023</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uto"/>
              </w:rPr>
              <w:t>​ ​</w:t>
            </w:r>
          </w:p>
        </w:tc>
        <w:tc>
          <w:tcPr>
            <w:tcW w:w="640" w:type="dxa"/>
            <w:vAlign w:val="bottom"/>
          </w:tcPr>
          <w:p>
            <w:pPr>
              <w:ind w:left="460"/>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1300" w:type="dxa"/>
            <w:vAlign w:val="bottom"/>
          </w:tcPr>
          <w:p>
            <w:pPr>
              <w:ind w:left="740"/>
              <w:spacing w:after="0"/>
              <w:rPr>
                <w:sz w:val="20"/>
                <w:szCs w:val="20"/>
                <w:color w:val="auto"/>
              </w:rPr>
            </w:pPr>
            <w:r>
              <w:rPr>
                <w:rFonts w:ascii="Arial" w:cs="Arial" w:eastAsia="Arial" w:hAnsi="Arial"/>
                <w:sz w:val="15"/>
                <w:szCs w:val="15"/>
                <w:color w:val="auto"/>
                <w:w w:val="99"/>
              </w:rPr>
              <w:t>368,200</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5"/>
                <w:szCs w:val="15"/>
                <w:color w:val="auto"/>
              </w:rPr>
            </w:pPr>
          </w:p>
        </w:tc>
        <w:tc>
          <w:tcPr>
            <w:tcW w:w="1380" w:type="dxa"/>
            <w:vAlign w:val="bottom"/>
          </w:tcPr>
          <w:p>
            <w:pPr>
              <w:ind w:left="760"/>
              <w:spacing w:after="0"/>
              <w:rPr>
                <w:sz w:val="20"/>
                <w:szCs w:val="20"/>
                <w:color w:val="auto"/>
              </w:rPr>
            </w:pPr>
            <w:r>
              <w:rPr>
                <w:rFonts w:ascii="Arial" w:cs="Arial" w:eastAsia="Arial" w:hAnsi="Arial"/>
                <w:sz w:val="15"/>
                <w:szCs w:val="15"/>
                <w:color w:val="auto"/>
              </w:rPr>
              <w:t>​599,845</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60" w:type="dxa"/>
            <w:vAlign w:val="bottom"/>
          </w:tcPr>
          <w:p>
            <w:pPr>
              <w:spacing w:after="0"/>
              <w:rPr>
                <w:sz w:val="15"/>
                <w:szCs w:val="15"/>
                <w:color w:val="auto"/>
              </w:rPr>
            </w:pPr>
          </w:p>
        </w:tc>
        <w:tc>
          <w:tcPr>
            <w:tcW w:w="820" w:type="dxa"/>
            <w:vAlign w:val="bottom"/>
          </w:tcPr>
          <w:p>
            <w:pPr>
              <w:ind w:left="7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90,336</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900" w:type="dxa"/>
            <w:vAlign w:val="bottom"/>
          </w:tcPr>
          <w:p>
            <w:pPr>
              <w:ind w:left="140"/>
              <w:spacing w:after="0"/>
              <w:rPr>
                <w:sz w:val="20"/>
                <w:szCs w:val="20"/>
                <w:color w:val="auto"/>
              </w:rPr>
            </w:pPr>
            <w:r>
              <w:rPr>
                <w:rFonts w:ascii="Arial" w:cs="Arial" w:eastAsia="Arial" w:hAnsi="Arial"/>
                <w:sz w:val="15"/>
                <w:szCs w:val="15"/>
                <w:color w:val="auto"/>
                <w:w w:val="98"/>
              </w:rPr>
              <w:t>54,978,000</w:t>
            </w:r>
          </w:p>
        </w:tc>
        <w:tc>
          <w:tcPr>
            <w:tcW w:w="240" w:type="dxa"/>
            <w:vAlign w:val="bottom"/>
            <w:vMerge w:val="restart"/>
          </w:tcPr>
          <w:p>
            <w:pPr>
              <w:spacing w:after="0"/>
              <w:rPr>
                <w:sz w:val="20"/>
                <w:szCs w:val="20"/>
                <w:color w:val="auto"/>
              </w:rPr>
            </w:pPr>
            <w:r>
              <w:rPr>
                <w:rFonts w:ascii="Arial" w:cs="Arial" w:eastAsia="Arial" w:hAnsi="Arial"/>
                <w:sz w:val="15"/>
                <w:szCs w:val="15"/>
                <w:color w:val="auto"/>
              </w:rPr>
              <w:t>​​ ​</w:t>
            </w: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35"/>
        </w:trPr>
        <w:tc>
          <w:tcPr>
            <w:tcW w:w="1600" w:type="dxa"/>
            <w:vAlign w:val="bottom"/>
          </w:tcPr>
          <w:p>
            <w:pPr>
              <w:ind w:left="40"/>
              <w:spacing w:after="0" w:line="35" w:lineRule="exact"/>
              <w:rPr>
                <w:sz w:val="20"/>
                <w:szCs w:val="20"/>
                <w:color w:val="auto"/>
              </w:rPr>
            </w:pPr>
            <w:r>
              <w:rPr>
                <w:rFonts w:ascii="Arial" w:cs="Arial" w:eastAsia="Arial" w:hAnsi="Arial"/>
                <w:sz w:val="4"/>
                <w:szCs w:val="4"/>
                <w:color w:val="auto"/>
              </w:rPr>
              <w:t>​</w:t>
            </w:r>
          </w:p>
        </w:tc>
        <w:tc>
          <w:tcPr>
            <w:tcW w:w="220" w:type="dxa"/>
            <w:vAlign w:val="bottom"/>
            <w:vMerge w:val="continue"/>
          </w:tcPr>
          <w:p>
            <w:pPr>
              <w:spacing w:after="0"/>
              <w:rPr>
                <w:sz w:val="3"/>
                <w:szCs w:val="3"/>
                <w:color w:val="auto"/>
              </w:rPr>
            </w:pPr>
          </w:p>
        </w:tc>
        <w:tc>
          <w:tcPr>
            <w:tcW w:w="640" w:type="dxa"/>
            <w:vAlign w:val="bottom"/>
          </w:tcPr>
          <w:p>
            <w:pPr>
              <w:ind w:left="460"/>
              <w:spacing w:after="0" w:line="35" w:lineRule="exact"/>
              <w:rPr>
                <w:sz w:val="20"/>
                <w:szCs w:val="20"/>
                <w:color w:val="auto"/>
              </w:rPr>
            </w:pPr>
            <w:r>
              <w:rPr>
                <w:rFonts w:ascii="Arial" w:cs="Arial" w:eastAsia="Arial" w:hAnsi="Arial"/>
                <w:sz w:val="4"/>
                <w:szCs w:val="4"/>
                <w:color w:val="auto"/>
              </w:rPr>
              <w:t>​</w:t>
            </w:r>
          </w:p>
        </w:tc>
        <w:tc>
          <w:tcPr>
            <w:tcW w:w="200" w:type="dxa"/>
            <w:vAlign w:val="bottom"/>
            <w:vMerge w:val="continue"/>
          </w:tcPr>
          <w:p>
            <w:pPr>
              <w:spacing w:after="0"/>
              <w:rPr>
                <w:sz w:val="3"/>
                <w:szCs w:val="3"/>
                <w:color w:val="auto"/>
              </w:rPr>
            </w:pPr>
          </w:p>
        </w:tc>
        <w:tc>
          <w:tcPr>
            <w:tcW w:w="1300" w:type="dxa"/>
            <w:vAlign w:val="bottom"/>
          </w:tcPr>
          <w:p>
            <w:pPr>
              <w:ind w:left="740"/>
              <w:spacing w:after="0" w:line="35" w:lineRule="exact"/>
              <w:rPr>
                <w:sz w:val="20"/>
                <w:szCs w:val="20"/>
                <w:color w:val="auto"/>
              </w:rPr>
            </w:pPr>
            <w:r>
              <w:rPr>
                <w:rFonts w:ascii="Arial" w:cs="Arial" w:eastAsia="Arial" w:hAnsi="Arial"/>
                <w:sz w:val="4"/>
                <w:szCs w:val="4"/>
                <w:color w:val="auto"/>
              </w:rPr>
              <w:t>​</w:t>
            </w:r>
          </w:p>
        </w:tc>
        <w:tc>
          <w:tcPr>
            <w:tcW w:w="1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ind w:left="740"/>
              <w:spacing w:after="0" w:line="35" w:lineRule="exact"/>
              <w:rPr>
                <w:sz w:val="20"/>
                <w:szCs w:val="20"/>
                <w:color w:val="auto"/>
              </w:rPr>
            </w:pPr>
            <w:r>
              <w:rPr>
                <w:rFonts w:ascii="Arial" w:cs="Arial" w:eastAsia="Arial" w:hAnsi="Arial"/>
                <w:sz w:val="4"/>
                <w:szCs w:val="4"/>
                <w:color w:val="auto"/>
              </w:rPr>
              <w:t>​</w:t>
            </w: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ind w:left="700"/>
              <w:spacing w:after="0" w:line="35" w:lineRule="exact"/>
              <w:rPr>
                <w:sz w:val="20"/>
                <w:szCs w:val="20"/>
                <w:color w:val="auto"/>
              </w:rPr>
            </w:pPr>
            <w:r>
              <w:rPr>
                <w:rFonts w:ascii="Arial" w:cs="Arial" w:eastAsia="Arial" w:hAnsi="Arial"/>
                <w:sz w:val="4"/>
                <w:szCs w:val="4"/>
                <w:color w:val="auto"/>
              </w:rPr>
              <w:t>​</w:t>
            </w:r>
          </w:p>
        </w:tc>
        <w:tc>
          <w:tcPr>
            <w:tcW w:w="5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900" w:type="dxa"/>
            <w:vAlign w:val="bottom"/>
          </w:tcPr>
          <w:p>
            <w:pPr>
              <w:ind w:left="140"/>
              <w:spacing w:after="0" w:line="35" w:lineRule="exact"/>
              <w:rPr>
                <w:sz w:val="20"/>
                <w:szCs w:val="20"/>
                <w:color w:val="auto"/>
              </w:rPr>
            </w:pPr>
            <w:r>
              <w:rPr>
                <w:rFonts w:ascii="Arial" w:cs="Arial" w:eastAsia="Arial" w:hAnsi="Arial"/>
                <w:sz w:val="4"/>
                <w:szCs w:val="4"/>
                <w:color w:val="auto"/>
              </w:rPr>
              <w:t>​</w:t>
            </w:r>
          </w:p>
        </w:tc>
        <w:tc>
          <w:tcPr>
            <w:tcW w:w="240" w:type="dxa"/>
            <w:vAlign w:val="bottom"/>
            <w:vMerge w:val="continue"/>
          </w:tcPr>
          <w:p>
            <w:pPr>
              <w:spacing w:after="0"/>
              <w:rPr>
                <w:sz w:val="3"/>
                <w:szCs w:val="3"/>
                <w:color w:val="auto"/>
              </w:rPr>
            </w:pPr>
          </w:p>
        </w:tc>
        <w:tc>
          <w:tcPr>
            <w:tcW w:w="440" w:type="dxa"/>
            <w:vAlign w:val="bottom"/>
          </w:tcPr>
          <w:p>
            <w:pPr>
              <w:ind w:left="120"/>
              <w:spacing w:after="0" w:line="35" w:lineRule="exact"/>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line="35"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95"/>
        </w:trPr>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Three-Year Average</w:t>
            </w:r>
          </w:p>
        </w:tc>
        <w:tc>
          <w:tcPr>
            <w:tcW w:w="22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 ​</w:t>
            </w:r>
          </w:p>
        </w:tc>
        <w:tc>
          <w:tcPr>
            <w:tcW w:w="640" w:type="dxa"/>
            <w:vAlign w:val="bottom"/>
          </w:tcPr>
          <w:p>
            <w:pPr>
              <w:ind w:left="46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ind w:left="74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1380" w:type="dxa"/>
            <w:vAlign w:val="bottom"/>
          </w:tcPr>
          <w:p>
            <w:pPr>
              <w:ind w:left="7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820" w:type="dxa"/>
            <w:vAlign w:val="bottom"/>
          </w:tcPr>
          <w:p>
            <w:pPr>
              <w:ind w:left="74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0"/>
                <w:szCs w:val="20"/>
                <w:color w:val="auto"/>
              </w:rPr>
            </w:pPr>
            <w:r>
              <w:rPr>
                <w:rFonts w:ascii="Arial" w:cs="Arial" w:eastAsia="Arial" w:hAnsi="Arial"/>
                <w:sz w:val="15"/>
                <w:szCs w:val="15"/>
                <w:b w:val="1"/>
                <w:bCs w:val="1"/>
                <w:color w:val="auto"/>
              </w:rPr>
              <w:t>​</w:t>
            </w: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54"/>
        </w:trPr>
        <w:tc>
          <w:tcPr>
            <w:tcW w:w="1600" w:type="dxa"/>
            <w:vAlign w:val="bottom"/>
            <w:tcBorders>
              <w:bottom w:val="single" w:sz="8" w:color="auto"/>
            </w:tcBorders>
          </w:tcPr>
          <w:p>
            <w:pPr>
              <w:ind w:left="40"/>
              <w:spacing w:after="0" w:line="54" w:lineRule="exact"/>
              <w:rPr>
                <w:sz w:val="20"/>
                <w:szCs w:val="20"/>
                <w:color w:val="auto"/>
              </w:rPr>
            </w:pPr>
            <w:r>
              <w:rPr>
                <w:rFonts w:ascii="Arial" w:cs="Arial" w:eastAsia="Arial" w:hAnsi="Arial"/>
                <w:sz w:val="5"/>
                <w:szCs w:val="5"/>
                <w:b w:val="1"/>
                <w:bCs w:val="1"/>
                <w:color w:val="auto"/>
              </w:rPr>
              <w:t>​</w:t>
            </w:r>
          </w:p>
        </w:tc>
        <w:tc>
          <w:tcPr>
            <w:tcW w:w="220" w:type="dxa"/>
            <w:vAlign w:val="bottom"/>
            <w:tcBorders>
              <w:bottom w:val="single" w:sz="8" w:color="auto"/>
            </w:tcBorders>
            <w:vMerge w:val="continue"/>
          </w:tcPr>
          <w:p>
            <w:pPr>
              <w:spacing w:after="0"/>
              <w:rPr>
                <w:sz w:val="4"/>
                <w:szCs w:val="4"/>
                <w:color w:val="auto"/>
              </w:rPr>
            </w:pPr>
          </w:p>
        </w:tc>
        <w:tc>
          <w:tcPr>
            <w:tcW w:w="640" w:type="dxa"/>
            <w:vAlign w:val="bottom"/>
            <w:tcBorders>
              <w:bottom w:val="single" w:sz="8" w:color="auto"/>
            </w:tcBorders>
          </w:tcPr>
          <w:p>
            <w:pPr>
              <w:ind w:left="460"/>
              <w:spacing w:after="0" w:line="54" w:lineRule="exact"/>
              <w:rPr>
                <w:sz w:val="20"/>
                <w:szCs w:val="20"/>
                <w:color w:val="auto"/>
              </w:rPr>
            </w:pPr>
            <w:r>
              <w:rPr>
                <w:rFonts w:ascii="Arial" w:cs="Arial" w:eastAsia="Arial" w:hAnsi="Arial"/>
                <w:sz w:val="5"/>
                <w:szCs w:val="5"/>
                <w:b w:val="1"/>
                <w:bCs w:val="1"/>
                <w:color w:val="auto"/>
              </w:rPr>
              <w:t>​</w:t>
            </w:r>
          </w:p>
        </w:tc>
        <w:tc>
          <w:tcPr>
            <w:tcW w:w="200" w:type="dxa"/>
            <w:vAlign w:val="bottom"/>
            <w:tcBorders>
              <w:bottom w:val="single" w:sz="8" w:color="auto"/>
            </w:tcBorders>
          </w:tcPr>
          <w:p>
            <w:pPr>
              <w:spacing w:after="0" w:line="54" w:lineRule="exact"/>
              <w:rPr>
                <w:sz w:val="20"/>
                <w:szCs w:val="20"/>
                <w:color w:val="auto"/>
              </w:rPr>
            </w:pPr>
            <w:r>
              <w:rPr>
                <w:rFonts w:ascii="Arial" w:cs="Arial" w:eastAsia="Arial" w:hAnsi="Arial"/>
                <w:sz w:val="5"/>
                <w:szCs w:val="5"/>
                <w:b w:val="1"/>
                <w:bCs w:val="1"/>
                <w:color w:val="auto"/>
              </w:rPr>
              <w:t>​​ ​</w:t>
            </w:r>
          </w:p>
        </w:tc>
        <w:tc>
          <w:tcPr>
            <w:tcW w:w="1300" w:type="dxa"/>
            <w:vAlign w:val="bottom"/>
            <w:tcBorders>
              <w:bottom w:val="single" w:sz="8" w:color="auto"/>
            </w:tcBorders>
          </w:tcPr>
          <w:p>
            <w:pPr>
              <w:ind w:left="740"/>
              <w:spacing w:after="0" w:line="54" w:lineRule="exact"/>
              <w:rPr>
                <w:sz w:val="20"/>
                <w:szCs w:val="20"/>
                <w:color w:val="auto"/>
              </w:rPr>
            </w:pPr>
            <w:r>
              <w:rPr>
                <w:rFonts w:ascii="Arial" w:cs="Arial" w:eastAsia="Arial" w:hAnsi="Arial"/>
                <w:sz w:val="5"/>
                <w:szCs w:val="5"/>
                <w:b w:val="1"/>
                <w:bCs w:val="1"/>
                <w:color w:val="auto"/>
              </w:rPr>
              <w:t>​</w:t>
            </w:r>
          </w:p>
        </w:tc>
        <w:tc>
          <w:tcPr>
            <w:tcW w:w="180" w:type="dxa"/>
            <w:vAlign w:val="bottom"/>
            <w:tcBorders>
              <w:bottom w:val="single" w:sz="8" w:color="auto"/>
            </w:tcBorders>
          </w:tcPr>
          <w:p>
            <w:pPr>
              <w:spacing w:after="0" w:line="54" w:lineRule="exact"/>
              <w:rPr>
                <w:sz w:val="20"/>
                <w:szCs w:val="20"/>
                <w:color w:val="auto"/>
              </w:rPr>
            </w:pPr>
            <w:r>
              <w:rPr>
                <w:rFonts w:ascii="Arial" w:cs="Arial" w:eastAsia="Arial" w:hAnsi="Arial"/>
                <w:sz w:val="5"/>
                <w:szCs w:val="5"/>
                <w:b w:val="1"/>
                <w:bCs w:val="1"/>
                <w:color w:val="auto"/>
              </w:rPr>
              <w:t>​​ ​</w:t>
            </w: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ind w:left="740"/>
              <w:spacing w:after="0" w:line="54" w:lineRule="exact"/>
              <w:rPr>
                <w:sz w:val="20"/>
                <w:szCs w:val="20"/>
                <w:color w:val="auto"/>
              </w:rPr>
            </w:pPr>
            <w:r>
              <w:rPr>
                <w:rFonts w:ascii="Arial" w:cs="Arial" w:eastAsia="Arial" w:hAnsi="Arial"/>
                <w:sz w:val="5"/>
                <w:szCs w:val="5"/>
                <w:b w:val="1"/>
                <w:bCs w:val="1"/>
                <w:color w:val="auto"/>
              </w:rPr>
              <w:t>​</w:t>
            </w:r>
          </w:p>
        </w:tc>
        <w:tc>
          <w:tcPr>
            <w:tcW w:w="180" w:type="dxa"/>
            <w:vAlign w:val="bottom"/>
            <w:tcBorders>
              <w:bottom w:val="single" w:sz="8" w:color="auto"/>
            </w:tcBorders>
          </w:tcPr>
          <w:p>
            <w:pPr>
              <w:spacing w:after="0" w:line="54" w:lineRule="exact"/>
              <w:rPr>
                <w:sz w:val="20"/>
                <w:szCs w:val="20"/>
                <w:color w:val="auto"/>
              </w:rPr>
            </w:pPr>
            <w:r>
              <w:rPr>
                <w:rFonts w:ascii="Arial" w:cs="Arial" w:eastAsia="Arial" w:hAnsi="Arial"/>
                <w:sz w:val="5"/>
                <w:szCs w:val="5"/>
                <w:b w:val="1"/>
                <w:bCs w:val="1"/>
                <w:color w:val="auto"/>
              </w:rPr>
              <w:t>​​ ​</w:t>
            </w: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ind w:left="700"/>
              <w:spacing w:after="0" w:line="5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line="54" w:lineRule="exact"/>
              <w:rPr>
                <w:sz w:val="20"/>
                <w:szCs w:val="20"/>
                <w:color w:val="auto"/>
              </w:rPr>
            </w:pPr>
            <w:r>
              <w:rPr>
                <w:rFonts w:ascii="Arial" w:cs="Arial" w:eastAsia="Arial" w:hAnsi="Arial"/>
                <w:sz w:val="5"/>
                <w:szCs w:val="5"/>
                <w:b w:val="1"/>
                <w:bCs w:val="1"/>
                <w:color w:val="auto"/>
              </w:rPr>
              <w:t>​​ ​</w:t>
            </w:r>
          </w:p>
        </w:tc>
        <w:tc>
          <w:tcPr>
            <w:tcW w:w="900" w:type="dxa"/>
            <w:vAlign w:val="bottom"/>
            <w:tcBorders>
              <w:bottom w:val="single" w:sz="8" w:color="auto"/>
            </w:tcBorders>
          </w:tcPr>
          <w:p>
            <w:pPr>
              <w:ind w:left="140"/>
              <w:spacing w:after="0" w:line="54" w:lineRule="exact"/>
              <w:rPr>
                <w:sz w:val="20"/>
                <w:szCs w:val="20"/>
                <w:color w:val="auto"/>
              </w:rPr>
            </w:pPr>
            <w:r>
              <w:rPr>
                <w:rFonts w:ascii="Arial" w:cs="Arial" w:eastAsia="Arial" w:hAnsi="Arial"/>
                <w:sz w:val="5"/>
                <w:szCs w:val="5"/>
                <w:b w:val="1"/>
                <w:bCs w:val="1"/>
                <w:color w:val="auto"/>
              </w:rPr>
              <w:t>​</w:t>
            </w:r>
          </w:p>
        </w:tc>
        <w:tc>
          <w:tcPr>
            <w:tcW w:w="240" w:type="dxa"/>
            <w:vAlign w:val="bottom"/>
            <w:tcBorders>
              <w:bottom w:val="single" w:sz="8" w:color="auto"/>
            </w:tcBorders>
          </w:tcPr>
          <w:p>
            <w:pPr>
              <w:spacing w:after="0" w:line="54" w:lineRule="exact"/>
              <w:rPr>
                <w:sz w:val="20"/>
                <w:szCs w:val="20"/>
                <w:color w:val="auto"/>
              </w:rPr>
            </w:pPr>
            <w:r>
              <w:rPr>
                <w:rFonts w:ascii="Arial" w:cs="Arial" w:eastAsia="Arial" w:hAnsi="Arial"/>
                <w:sz w:val="5"/>
                <w:szCs w:val="5"/>
                <w:b w:val="1"/>
                <w:bCs w:val="1"/>
                <w:color w:val="auto"/>
              </w:rPr>
              <w:t>​​ ​</w:t>
            </w: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-599440</wp:posOffset>
            </wp:positionV>
            <wp:extent cx="583755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-299720</wp:posOffset>
            </wp:positionV>
            <wp:extent cx="5837555"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37555" cy="146050"/>
                    </a:xfrm>
                    <a:prstGeom prst="rect">
                      <a:avLst/>
                    </a:prstGeom>
                    <a:noFill/>
                  </pic:spPr>
                </pic:pic>
              </a:graphicData>
            </a:graphic>
          </wp:anchor>
        </w:drawing>
      </w:r>
    </w:p>
    <w:p>
      <w:pPr>
        <w:spacing w:after="0" w:line="27" w:lineRule="exact"/>
        <w:rPr>
          <w:sz w:val="20"/>
          <w:szCs w:val="20"/>
          <w:color w:val="auto"/>
        </w:rPr>
      </w:pPr>
    </w:p>
    <w:p>
      <w:pPr>
        <w:jc w:val="both"/>
        <w:ind w:left="1120" w:right="760" w:hanging="358"/>
        <w:spacing w:after="0" w:line="274" w:lineRule="auto"/>
        <w:tabs>
          <w:tab w:leader="none" w:pos="112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In connection with the Company’s acquisition of Brigit, Restricted Stock Awards covering approximately 1.3 million shares of Common Stock were granted in fiscal year 2025 as merger consideration to Brigit’s co-founders and certain of their respective affiliates and have been excluded from the number of time-based full value awards granted in fiscal year 2025.</w:t>
      </w:r>
    </w:p>
    <w:p>
      <w:pPr>
        <w:ind w:left="1120" w:right="780" w:hanging="358"/>
        <w:spacing w:after="0" w:line="271" w:lineRule="auto"/>
        <w:tabs>
          <w:tab w:leader="none" w:pos="112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Target-Performance-Based Awards Granted is shown for reference and the number of Performance-Based Awards Earned is used in the calculation of the Burn Rate.</w:t>
      </w:r>
    </w:p>
    <w:p>
      <w:pPr>
        <w:ind w:left="1120" w:right="760" w:hanging="358"/>
        <w:spacing w:after="0" w:line="284" w:lineRule="auto"/>
        <w:tabs>
          <w:tab w:leader="none" w:pos="112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Calculated as the sum of Time-Based Full Value Awards Granted and Performance-Based Awards Earned divided by the Basic Weighted Average Shares Outstanding.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760" w:type="dxa"/>
            <w:vAlign w:val="bottom"/>
          </w:tcPr>
          <w:p>
            <w:pPr>
              <w:spacing w:after="0"/>
              <w:rPr>
                <w:sz w:val="24"/>
                <w:szCs w:val="24"/>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Time-based Restricted Stock Granted as Consideration for Acquisitions</w:t>
            </w: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5"/>
                <w:szCs w:val="15"/>
                <w:b w:val="1"/>
                <w:bCs w:val="1"/>
                <w:color w:val="auto"/>
              </w:rPr>
              <w:t>​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 xml:space="preserve"># of Shares/Units </w:t>
            </w:r>
            <w:r>
              <w:rPr>
                <w:rFonts w:ascii="Arial" w:cs="Arial" w:eastAsia="Arial" w:hAnsi="Arial"/>
                <w:sz w:val="30"/>
                <w:szCs w:val="30"/>
                <w:b w:val="1"/>
                <w:bCs w:val="1"/>
                <w:color w:val="auto"/>
                <w:vertAlign w:val="subscript"/>
              </w:rPr>
              <w:t>​</w:t>
            </w:r>
          </w:p>
        </w:tc>
        <w:tc>
          <w:tcPr>
            <w:tcW w:w="760" w:type="dxa"/>
            <w:vAlign w:val="bottom"/>
          </w:tcPr>
          <w:p>
            <w:pPr>
              <w:spacing w:after="0"/>
              <w:rPr>
                <w:sz w:val="24"/>
                <w:szCs w:val="24"/>
                <w:color w:val="auto"/>
              </w:rPr>
            </w:pPr>
          </w:p>
        </w:tc>
      </w:tr>
      <w:tr>
        <w:trPr>
          <w:trHeight w:val="236"/>
        </w:trPr>
        <w:tc>
          <w:tcPr>
            <w:tcW w:w="760" w:type="dxa"/>
            <w:vAlign w:val="bottom"/>
          </w:tcPr>
          <w:p>
            <w:pPr>
              <w:spacing w:after="0"/>
              <w:rPr>
                <w:sz w:val="20"/>
                <w:szCs w:val="20"/>
                <w:color w:val="auto"/>
              </w:rPr>
            </w:pPr>
          </w:p>
        </w:tc>
        <w:tc>
          <w:tcPr>
            <w:tcW w:w="6460" w:type="dxa"/>
            <w:vAlign w:val="bottom"/>
            <w:shd w:val="clear" w:color="auto" w:fill="E5E5E5"/>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Year ended December 31, 2025</w:t>
            </w:r>
          </w:p>
        </w:tc>
        <w:tc>
          <w:tcPr>
            <w:tcW w:w="1320" w:type="dxa"/>
            <w:vAlign w:val="bottom"/>
            <w:shd w:val="clear" w:color="auto" w:fill="E5E5E5"/>
          </w:tcPr>
          <w:p>
            <w:pPr>
              <w:ind w:left="1120"/>
              <w:spacing w:after="0"/>
              <w:rPr>
                <w:sz w:val="20"/>
                <w:szCs w:val="20"/>
                <w:color w:val="auto"/>
              </w:rPr>
            </w:pPr>
            <w:r>
              <w:rPr>
                <w:rFonts w:ascii="Arial" w:cs="Arial" w:eastAsia="Arial" w:hAnsi="Arial"/>
                <w:sz w:val="15"/>
                <w:szCs w:val="15"/>
                <w:color w:val="auto"/>
              </w:rPr>
              <w:t>​ ​</w:t>
            </w:r>
          </w:p>
        </w:tc>
        <w:tc>
          <w:tcPr>
            <w:tcW w:w="1420" w:type="dxa"/>
            <w:vAlign w:val="bottom"/>
            <w:shd w:val="clear" w:color="auto" w:fill="E5E5E5"/>
          </w:tcPr>
          <w:p>
            <w:pPr>
              <w:jc w:val="right"/>
              <w:spacing w:after="0" w:line="236" w:lineRule="exact"/>
              <w:rPr>
                <w:sz w:val="20"/>
                <w:szCs w:val="20"/>
                <w:color w:val="auto"/>
              </w:rPr>
            </w:pPr>
            <w:r>
              <w:rPr>
                <w:rFonts w:ascii="Arial" w:cs="Arial" w:eastAsia="Arial" w:hAnsi="Arial"/>
                <w:sz w:val="14"/>
                <w:szCs w:val="14"/>
                <w:color w:val="auto"/>
              </w:rPr>
              <w:t>1.3 million</w:t>
            </w:r>
            <w:r>
              <w:rPr>
                <w:rFonts w:ascii="Arial" w:cs="Arial" w:eastAsia="Arial" w:hAnsi="Arial"/>
                <w:sz w:val="27"/>
                <w:szCs w:val="27"/>
                <w:color w:val="auto"/>
                <w:vertAlign w:val="superscript"/>
              </w:rPr>
              <w:t>​</w:t>
            </w:r>
          </w:p>
        </w:tc>
        <w:tc>
          <w:tcPr>
            <w:tcW w:w="760" w:type="dxa"/>
            <w:vAlign w:val="bottom"/>
          </w:tcPr>
          <w:p>
            <w:pPr>
              <w:spacing w:after="0"/>
              <w:rPr>
                <w:sz w:val="20"/>
                <w:szCs w:val="20"/>
                <w:color w:val="auto"/>
              </w:rPr>
            </w:pPr>
          </w:p>
        </w:tc>
      </w:tr>
      <w:tr>
        <w:trPr>
          <w:trHeight w:val="243"/>
        </w:trPr>
        <w:tc>
          <w:tcPr>
            <w:tcW w:w="760" w:type="dxa"/>
            <w:vAlign w:val="bottom"/>
          </w:tcPr>
          <w:p>
            <w:pPr>
              <w:spacing w:after="0"/>
              <w:rPr>
                <w:sz w:val="21"/>
                <w:szCs w:val="21"/>
                <w:color w:val="auto"/>
              </w:rPr>
            </w:pPr>
          </w:p>
        </w:tc>
        <w:tc>
          <w:tcPr>
            <w:tcW w:w="6460" w:type="dxa"/>
            <w:vAlign w:val="bottom"/>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Year ended December 31, 2024</w:t>
            </w:r>
          </w:p>
        </w:tc>
        <w:tc>
          <w:tcPr>
            <w:tcW w:w="1320" w:type="dxa"/>
            <w:vAlign w:val="bottom"/>
          </w:tcPr>
          <w:p>
            <w:pPr>
              <w:ind w:left="1120"/>
              <w:spacing w:after="0"/>
              <w:rPr>
                <w:sz w:val="20"/>
                <w:szCs w:val="20"/>
                <w:color w:val="auto"/>
              </w:rPr>
            </w:pPr>
            <w:r>
              <w:rPr>
                <w:rFonts w:ascii="Arial" w:cs="Arial" w:eastAsia="Arial" w:hAnsi="Arial"/>
                <w:sz w:val="15"/>
                <w:szCs w:val="15"/>
                <w:color w:val="auto"/>
              </w:rPr>
              <w:t>​ ​</w:t>
            </w:r>
          </w:p>
        </w:tc>
        <w:tc>
          <w:tcPr>
            <w:tcW w:w="1420" w:type="dxa"/>
            <w:vAlign w:val="bottom"/>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60" w:type="dxa"/>
            <w:vAlign w:val="bottom"/>
          </w:tcPr>
          <w:p>
            <w:pPr>
              <w:spacing w:after="0"/>
              <w:rPr>
                <w:sz w:val="21"/>
                <w:szCs w:val="21"/>
                <w:color w:val="auto"/>
              </w:rPr>
            </w:pPr>
          </w:p>
        </w:tc>
      </w:tr>
      <w:tr>
        <w:trPr>
          <w:trHeight w:val="256"/>
        </w:trPr>
        <w:tc>
          <w:tcPr>
            <w:tcW w:w="760" w:type="dxa"/>
            <w:vAlign w:val="bottom"/>
          </w:tcPr>
          <w:p>
            <w:pPr>
              <w:spacing w:after="0"/>
              <w:rPr>
                <w:sz w:val="22"/>
                <w:szCs w:val="22"/>
                <w:color w:val="auto"/>
              </w:rPr>
            </w:pPr>
          </w:p>
        </w:tc>
        <w:tc>
          <w:tcPr>
            <w:tcW w:w="6460" w:type="dxa"/>
            <w:vAlign w:val="bottom"/>
            <w:tcBorders>
              <w:bottom w:val="single" w:sz="8" w:color="auto"/>
            </w:tcBorders>
            <w:shd w:val="clear" w:color="auto" w:fill="E5E5E5"/>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Year ended December 31, 2023</w:t>
            </w:r>
          </w:p>
        </w:tc>
        <w:tc>
          <w:tcPr>
            <w:tcW w:w="1320" w:type="dxa"/>
            <w:vAlign w:val="bottom"/>
            <w:tcBorders>
              <w:bottom w:val="single" w:sz="8" w:color="auto"/>
            </w:tcBorders>
            <w:shd w:val="clear" w:color="auto" w:fill="E5E5E5"/>
          </w:tcPr>
          <w:p>
            <w:pPr>
              <w:ind w:left="1120"/>
              <w:spacing w:after="0"/>
              <w:rPr>
                <w:sz w:val="20"/>
                <w:szCs w:val="20"/>
                <w:color w:val="auto"/>
              </w:rPr>
            </w:pPr>
            <w:r>
              <w:rPr>
                <w:rFonts w:ascii="Arial" w:cs="Arial" w:eastAsia="Arial" w:hAnsi="Arial"/>
                <w:sz w:val="15"/>
                <w:szCs w:val="15"/>
                <w:color w:val="auto"/>
              </w:rPr>
              <w:t>​ ​</w:t>
            </w:r>
          </w:p>
        </w:tc>
        <w:tc>
          <w:tcPr>
            <w:tcW w:w="1420" w:type="dxa"/>
            <w:vAlign w:val="bottom"/>
            <w:tcBorders>
              <w:bottom w:val="single" w:sz="8" w:color="auto"/>
            </w:tcBorders>
            <w:shd w:val="clear" w:color="auto" w:fill="E5E5E5"/>
          </w:tcPr>
          <w:p>
            <w:pPr>
              <w:jc w:val="right"/>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760" w:type="dxa"/>
            <w:vAlign w:val="bottom"/>
          </w:tcPr>
          <w:p>
            <w:pPr>
              <w:spacing w:after="0"/>
              <w:rPr>
                <w:sz w:val="22"/>
                <w:szCs w:val="22"/>
                <w:color w:val="auto"/>
              </w:rPr>
            </w:pPr>
          </w:p>
        </w:tc>
      </w:tr>
      <w:tr>
        <w:trPr>
          <w:trHeight w:val="653"/>
        </w:trPr>
        <w:tc>
          <w:tcPr>
            <w:tcW w:w="76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4"/>
                <w:szCs w:val="14"/>
                <w:b w:val="1"/>
                <w:bCs w:val="1"/>
                <w:color w:val="auto"/>
              </w:rPr>
              <w:t xml:space="preserve">68   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3"/>
        </w:trPr>
        <w:tc>
          <w:tcPr>
            <w:tcW w:w="76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2940"/>
        <w:spacing w:after="0" w:line="296" w:lineRule="auto"/>
        <w:rPr>
          <w:sz w:val="20"/>
          <w:szCs w:val="20"/>
          <w:color w:val="auto"/>
        </w:rPr>
      </w:pPr>
      <w:r>
        <w:rPr>
          <w:rFonts w:ascii="Arial" w:cs="Arial" w:eastAsia="Arial" w:hAnsi="Arial"/>
          <w:sz w:val="16"/>
          <w:szCs w:val="16"/>
          <w:b w:val="1"/>
          <w:bCs w:val="1"/>
          <w:color w:val="auto"/>
        </w:rPr>
        <w:t>PROPOSAL FIVE: APPROVAL OF THE UPBOUND GROUP, INC. 2026 LONG-TERM INCENTIVE PLAN​ ​</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Overhang</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certain additional information regarding our equity incentive program.</w:t>
      </w:r>
    </w:p>
    <w:p>
      <w:pPr>
        <w:spacing w:after="0" w:line="76" w:lineRule="exact"/>
        <w:rPr>
          <w:sz w:val="20"/>
          <w:szCs w:val="20"/>
          <w:color w:val="auto"/>
        </w:rPr>
      </w:pPr>
    </w:p>
    <w:p>
      <w:pPr>
        <w:ind w:left="760"/>
        <w:spacing w:after="0"/>
        <w:tabs>
          <w:tab w:leader="none" w:pos="8080" w:val="left"/>
        </w:tabs>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5"/>
          <w:szCs w:val="15"/>
          <w:b w:val="1"/>
          <w:bCs w:val="1"/>
          <w:color w:val="auto"/>
        </w:rPr>
        <w:t xml:space="preserve"> ​</w:t>
      </w:r>
      <w:r>
        <w:rPr>
          <w:sz w:val="20"/>
          <w:szCs w:val="20"/>
          <w:color w:val="auto"/>
        </w:rPr>
        <w:tab/>
      </w:r>
      <w:r>
        <w:rPr>
          <w:rFonts w:ascii="Arial" w:cs="Arial" w:eastAsia="Arial" w:hAnsi="Arial"/>
          <w:sz w:val="17"/>
          <w:szCs w:val="17"/>
          <w:b w:val="1"/>
          <w:bCs w:val="1"/>
          <w:color w:val="auto"/>
          <w:vertAlign w:val="subscript"/>
        </w:rPr>
        <w:t xml:space="preserve">​ ​ </w:t>
      </w:r>
      <w:r>
        <w:rPr>
          <w:rFonts w:ascii="Arial" w:cs="Arial" w:eastAsia="Arial" w:hAnsi="Arial"/>
          <w:sz w:val="17"/>
          <w:szCs w:val="17"/>
          <w:b w:val="1"/>
          <w:bCs w:val="1"/>
          <w:color w:val="auto"/>
        </w:rPr>
        <w:t>As of March 11, 2026</w:t>
      </w:r>
      <w:r>
        <w:rPr>
          <w:rFonts w:ascii="Arial" w:cs="Arial" w:eastAsia="Arial" w:hAnsi="Arial"/>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27940</wp:posOffset>
            </wp:positionV>
            <wp:extent cx="5837555"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37555" cy="16319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9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​Total number of shares subject to outstanding stock options</w:t>
      </w:r>
    </w:p>
    <w:p>
      <w:pPr>
        <w:spacing w:after="0" w:line="7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​Weighted-average exercise price of outstanding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21590</wp:posOffset>
            </wp:positionV>
            <wp:extent cx="583755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37555" cy="154305"/>
                    </a:xfrm>
                    <a:prstGeom prst="rect">
                      <a:avLst/>
                    </a:prstGeom>
                    <a:noFill/>
                  </pic:spPr>
                </pic:pic>
              </a:graphicData>
            </a:graphic>
          </wp:anchor>
        </w:drawing>
      </w:r>
    </w:p>
    <w:p>
      <w:pPr>
        <w:spacing w:after="0" w:line="51" w:lineRule="exact"/>
        <w:rPr>
          <w:sz w:val="20"/>
          <w:szCs w:val="20"/>
          <w:color w:val="auto"/>
        </w:rPr>
      </w:pPr>
    </w:p>
    <w:p>
      <w:pPr>
        <w:ind w:left="800" w:right="2260" w:hanging="38"/>
        <w:spacing w:after="0" w:line="352" w:lineRule="auto"/>
        <w:tabs>
          <w:tab w:leader="none" w:pos="8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Weighted-average remaining term of outstanding stock options ​Total number of shares subject to outstanding full value awards ​Total number of shares available for grant under the LTIP ​Total number of shares outstanding</w:t>
      </w:r>
    </w:p>
    <w:p>
      <w:pPr>
        <w:ind w:left="800"/>
        <w:spacing w:after="0"/>
        <w:rPr>
          <w:rFonts w:ascii="Arial" w:cs="Arial" w:eastAsia="Arial" w:hAnsi="Arial"/>
          <w:sz w:val="15"/>
          <w:szCs w:val="15"/>
          <w:color w:val="auto"/>
        </w:rPr>
      </w:pPr>
      <w:r>
        <w:rPr>
          <w:rFonts w:ascii="Arial" w:cs="Arial" w:eastAsia="Arial" w:hAnsi="Arial"/>
          <w:sz w:val="15"/>
          <w:szCs w:val="15"/>
          <w:color w:val="auto"/>
        </w:rPr>
        <w:t>​Per-share closing price of common stock as reported on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-466725</wp:posOffset>
            </wp:positionV>
            <wp:extent cx="5837555"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37555" cy="1625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-140970</wp:posOffset>
            </wp:positionV>
            <wp:extent cx="583755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0" w:type="dxa"/>
            <w:vAlign w:val="bottom"/>
          </w:tcPr>
          <w:p>
            <w:pPr>
              <w:ind w:left="60"/>
              <w:spacing w:after="0"/>
              <w:rPr>
                <w:sz w:val="20"/>
                <w:szCs w:val="20"/>
                <w:color w:val="auto"/>
              </w:rPr>
            </w:pPr>
            <w:r>
              <w:rPr>
                <w:rFonts w:ascii="Arial" w:cs="Arial" w:eastAsia="Arial" w:hAnsi="Arial"/>
                <w:sz w:val="15"/>
                <w:szCs w:val="15"/>
                <w:color w:val="auto"/>
              </w:rPr>
              <w:t>​ ​</w:t>
            </w:r>
          </w:p>
        </w:tc>
        <w:tc>
          <w:tcPr>
            <w:tcW w:w="460" w:type="dxa"/>
            <w:vAlign w:val="bottom"/>
          </w:tcPr>
          <w:p>
            <w:pPr>
              <w:ind w:left="180"/>
              <w:spacing w:after="0"/>
              <w:rPr>
                <w:sz w:val="20"/>
                <w:szCs w:val="20"/>
                <w:color w:val="auto"/>
              </w:rPr>
            </w:pPr>
            <w:r>
              <w:rPr>
                <w:rFonts w:ascii="Arial" w:cs="Arial" w:eastAsia="Arial" w:hAnsi="Arial"/>
                <w:sz w:val="15"/>
                <w:szCs w:val="15"/>
                <w:color w:val="auto"/>
              </w:rPr>
              <w:t>​ ​</w:t>
            </w:r>
          </w:p>
        </w:tc>
        <w:tc>
          <w:tcPr>
            <w:tcW w:w="980" w:type="dxa"/>
            <w:vAlign w:val="bottom"/>
          </w:tcPr>
          <w:p>
            <w:pPr>
              <w:jc w:val="right"/>
              <w:spacing w:after="0"/>
              <w:rPr>
                <w:sz w:val="20"/>
                <w:szCs w:val="20"/>
                <w:color w:val="auto"/>
              </w:rPr>
            </w:pPr>
            <w:r>
              <w:rPr>
                <w:rFonts w:ascii="Arial" w:cs="Arial" w:eastAsia="Arial" w:hAnsi="Arial"/>
                <w:sz w:val="15"/>
                <w:szCs w:val="15"/>
                <w:color w:val="auto"/>
              </w:rPr>
              <w:t>423,393​​</w:t>
            </w:r>
          </w:p>
        </w:tc>
      </w:tr>
      <w:tr>
        <w:trPr>
          <w:trHeight w:val="243"/>
        </w:trPr>
        <w:tc>
          <w:tcPr>
            <w:tcW w:w="400" w:type="dxa"/>
            <w:vAlign w:val="bottom"/>
          </w:tcPr>
          <w:p>
            <w:pPr>
              <w:ind w:left="60"/>
              <w:spacing w:after="0"/>
              <w:rPr>
                <w:sz w:val="20"/>
                <w:szCs w:val="20"/>
                <w:color w:val="auto"/>
              </w:rPr>
            </w:pPr>
            <w:r>
              <w:rPr>
                <w:rFonts w:ascii="Arial" w:cs="Arial" w:eastAsia="Arial" w:hAnsi="Arial"/>
                <w:sz w:val="15"/>
                <w:szCs w:val="15"/>
                <w:color w:val="auto"/>
              </w:rPr>
              <w:t>​ ​</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              23.807​​</w:t>
            </w:r>
          </w:p>
        </w:tc>
      </w:tr>
      <w:tr>
        <w:trPr>
          <w:trHeight w:val="243"/>
        </w:trPr>
        <w:tc>
          <w:tcPr>
            <w:tcW w:w="400" w:type="dxa"/>
            <w:vAlign w:val="bottom"/>
          </w:tcPr>
          <w:p>
            <w:pPr>
              <w:spacing w:after="0"/>
              <w:rPr>
                <w:sz w:val="20"/>
                <w:szCs w:val="20"/>
                <w:color w:val="auto"/>
              </w:rPr>
            </w:pPr>
            <w:r>
              <w:rPr>
                <w:rFonts w:ascii="Arial" w:cs="Arial" w:eastAsia="Arial" w:hAnsi="Arial"/>
                <w:sz w:val="15"/>
                <w:szCs w:val="15"/>
                <w:color w:val="auto"/>
              </w:rPr>
              <w:t>​ ​</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 years​</w:t>
            </w:r>
          </w:p>
        </w:tc>
      </w:tr>
      <w:tr>
        <w:trPr>
          <w:trHeight w:val="243"/>
        </w:trPr>
        <w:tc>
          <w:tcPr>
            <w:tcW w:w="400" w:type="dxa"/>
            <w:vAlign w:val="bottom"/>
          </w:tcPr>
          <w:p>
            <w:pPr>
              <w:ind w:left="60"/>
              <w:spacing w:after="0"/>
              <w:rPr>
                <w:sz w:val="20"/>
                <w:szCs w:val="20"/>
                <w:color w:val="auto"/>
              </w:rPr>
            </w:pPr>
            <w:r>
              <w:rPr>
                <w:rFonts w:ascii="Arial" w:cs="Arial" w:eastAsia="Arial" w:hAnsi="Arial"/>
                <w:sz w:val="15"/>
                <w:szCs w:val="15"/>
                <w:color w:val="auto"/>
              </w:rPr>
              <w:t>​ ​</w:t>
            </w:r>
          </w:p>
        </w:tc>
        <w:tc>
          <w:tcPr>
            <w:tcW w:w="460" w:type="dxa"/>
            <w:vAlign w:val="bottom"/>
          </w:tcPr>
          <w:p>
            <w:pPr>
              <w:ind w:left="180"/>
              <w:spacing w:after="0"/>
              <w:rPr>
                <w:sz w:val="20"/>
                <w:szCs w:val="20"/>
                <w:color w:val="auto"/>
              </w:rPr>
            </w:pPr>
            <w:r>
              <w:rPr>
                <w:rFonts w:ascii="Arial" w:cs="Arial" w:eastAsia="Arial" w:hAnsi="Arial"/>
                <w:sz w:val="15"/>
                <w:szCs w:val="15"/>
                <w:color w:val="auto"/>
              </w:rPr>
              <w:t>​ ​</w:t>
            </w:r>
          </w:p>
        </w:tc>
        <w:tc>
          <w:tcPr>
            <w:tcW w:w="980" w:type="dxa"/>
            <w:vAlign w:val="bottom"/>
          </w:tcPr>
          <w:p>
            <w:pPr>
              <w:jc w:val="right"/>
              <w:spacing w:after="0"/>
              <w:rPr>
                <w:sz w:val="20"/>
                <w:szCs w:val="20"/>
                <w:color w:val="auto"/>
              </w:rPr>
            </w:pPr>
            <w:r>
              <w:rPr>
                <w:rFonts w:ascii="Arial" w:cs="Arial" w:eastAsia="Arial" w:hAnsi="Arial"/>
                <w:sz w:val="15"/>
                <w:szCs w:val="15"/>
                <w:color w:val="auto"/>
              </w:rPr>
              <w:t>2,875,050​​</w:t>
            </w:r>
          </w:p>
        </w:tc>
      </w:tr>
      <w:tr>
        <w:trPr>
          <w:trHeight w:val="257"/>
        </w:trPr>
        <w:tc>
          <w:tcPr>
            <w:tcW w:w="400" w:type="dxa"/>
            <w:vAlign w:val="bottom"/>
          </w:tcPr>
          <w:p>
            <w:pPr>
              <w:ind w:left="60"/>
              <w:spacing w:after="0"/>
              <w:rPr>
                <w:sz w:val="20"/>
                <w:szCs w:val="20"/>
                <w:color w:val="auto"/>
              </w:rPr>
            </w:pPr>
            <w:r>
              <w:rPr>
                <w:rFonts w:ascii="Arial" w:cs="Arial" w:eastAsia="Arial" w:hAnsi="Arial"/>
                <w:sz w:val="15"/>
                <w:szCs w:val="15"/>
                <w:color w:val="auto"/>
              </w:rPr>
              <w:t>​ ​</w:t>
            </w:r>
          </w:p>
        </w:tc>
        <w:tc>
          <w:tcPr>
            <w:tcW w:w="460" w:type="dxa"/>
            <w:vAlign w:val="bottom"/>
          </w:tcPr>
          <w:p>
            <w:pPr>
              <w:ind w:left="180"/>
              <w:spacing w:after="0"/>
              <w:rPr>
                <w:sz w:val="20"/>
                <w:szCs w:val="20"/>
                <w:color w:val="auto"/>
              </w:rPr>
            </w:pPr>
            <w:r>
              <w:rPr>
                <w:rFonts w:ascii="Arial" w:cs="Arial" w:eastAsia="Arial" w:hAnsi="Arial"/>
                <w:sz w:val="15"/>
                <w:szCs w:val="15"/>
                <w:color w:val="auto"/>
              </w:rPr>
              <w:t>​ ​</w:t>
            </w:r>
          </w:p>
        </w:tc>
        <w:tc>
          <w:tcPr>
            <w:tcW w:w="980" w:type="dxa"/>
            <w:vAlign w:val="bottom"/>
          </w:tcPr>
          <w:p>
            <w:pPr>
              <w:jc w:val="right"/>
              <w:spacing w:after="0"/>
              <w:rPr>
                <w:sz w:val="20"/>
                <w:szCs w:val="20"/>
                <w:color w:val="auto"/>
              </w:rPr>
            </w:pPr>
            <w:r>
              <w:rPr>
                <w:rFonts w:ascii="Arial" w:cs="Arial" w:eastAsia="Arial" w:hAnsi="Arial"/>
                <w:sz w:val="15"/>
                <w:szCs w:val="15"/>
                <w:color w:val="auto"/>
              </w:rPr>
              <w:t>2,752,082​​</w:t>
            </w:r>
          </w:p>
        </w:tc>
      </w:tr>
      <w:tr>
        <w:trPr>
          <w:trHeight w:val="257"/>
        </w:trPr>
        <w:tc>
          <w:tcPr>
            <w:tcW w:w="400" w:type="dxa"/>
            <w:vAlign w:val="bottom"/>
          </w:tcPr>
          <w:p>
            <w:pPr>
              <w:ind w:left="60"/>
              <w:spacing w:after="0"/>
              <w:rPr>
                <w:sz w:val="20"/>
                <w:szCs w:val="20"/>
                <w:color w:val="auto"/>
              </w:rPr>
            </w:pPr>
            <w:r>
              <w:rPr>
                <w:rFonts w:ascii="Arial" w:cs="Arial" w:eastAsia="Arial" w:hAnsi="Arial"/>
                <w:sz w:val="15"/>
                <w:szCs w:val="15"/>
                <w:color w:val="auto"/>
              </w:rPr>
              <w:t>​ ​</w:t>
            </w:r>
          </w:p>
        </w:tc>
        <w:tc>
          <w:tcPr>
            <w:tcW w:w="460" w:type="dxa"/>
            <w:vAlign w:val="bottom"/>
          </w:tcPr>
          <w:p>
            <w:pPr>
              <w:ind w:left="180"/>
              <w:spacing w:after="0"/>
              <w:rPr>
                <w:sz w:val="20"/>
                <w:szCs w:val="20"/>
                <w:color w:val="auto"/>
              </w:rPr>
            </w:pPr>
            <w:r>
              <w:rPr>
                <w:rFonts w:ascii="Arial" w:cs="Arial" w:eastAsia="Arial" w:hAnsi="Arial"/>
                <w:sz w:val="15"/>
                <w:szCs w:val="15"/>
                <w:color w:val="auto"/>
              </w:rPr>
              <w:t>​ ​</w:t>
            </w:r>
          </w:p>
        </w:tc>
        <w:tc>
          <w:tcPr>
            <w:tcW w:w="980" w:type="dxa"/>
            <w:vAlign w:val="bottom"/>
          </w:tcPr>
          <w:p>
            <w:pPr>
              <w:jc w:val="right"/>
              <w:spacing w:after="0"/>
              <w:rPr>
                <w:sz w:val="20"/>
                <w:szCs w:val="20"/>
                <w:color w:val="auto"/>
              </w:rPr>
            </w:pPr>
            <w:r>
              <w:rPr>
                <w:rFonts w:ascii="Arial" w:cs="Arial" w:eastAsia="Arial" w:hAnsi="Arial"/>
                <w:sz w:val="15"/>
                <w:szCs w:val="15"/>
                <w:color w:val="auto"/>
              </w:rPr>
              <w:t>58,338,109​​</w:t>
            </w:r>
          </w:p>
        </w:tc>
      </w:tr>
      <w:tr>
        <w:trPr>
          <w:trHeight w:val="257"/>
        </w:trPr>
        <w:tc>
          <w:tcPr>
            <w:tcW w:w="400" w:type="dxa"/>
            <w:vAlign w:val="bottom"/>
          </w:tcPr>
          <w:p>
            <w:pPr>
              <w:ind w:left="60"/>
              <w:spacing w:after="0"/>
              <w:rPr>
                <w:sz w:val="20"/>
                <w:szCs w:val="20"/>
                <w:color w:val="auto"/>
              </w:rPr>
            </w:pPr>
            <w:r>
              <w:rPr>
                <w:rFonts w:ascii="Arial" w:cs="Arial" w:eastAsia="Arial" w:hAnsi="Arial"/>
                <w:sz w:val="15"/>
                <w:szCs w:val="15"/>
                <w:color w:val="auto"/>
              </w:rPr>
              <w:t>​ ​</w:t>
            </w:r>
          </w:p>
        </w:tc>
        <w:tc>
          <w:tcPr>
            <w:tcW w:w="460" w:type="dxa"/>
            <w:vAlign w:val="bottom"/>
          </w:tcPr>
          <w:p>
            <w:pPr>
              <w:ind w:left="18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18.30​​</w:t>
            </w:r>
          </w:p>
        </w:tc>
      </w:tr>
    </w:tbl>
    <w:p>
      <w:pPr>
        <w:spacing w:after="0" w:line="184" w:lineRule="exact"/>
        <w:rPr>
          <w:sz w:val="20"/>
          <w:szCs w:val="20"/>
          <w:color w:val="auto"/>
        </w:rPr>
      </w:pPr>
    </w:p>
    <w:p>
      <w:pPr>
        <w:sectPr>
          <w:pgSz w:w="11900" w:h="16838" w:orient="portrait"/>
          <w:cols w:equalWidth="0" w:num="2">
            <w:col w:w="7380" w:space="720"/>
            <w:col w:w="1900"/>
          </w:cols>
          <w:pgMar w:left="580" w:top="97" w:right="1319" w:bottom="1440" w:gutter="0" w:footer="0" w:header="0"/>
          <w:type w:val="continuous"/>
        </w:sectPr>
      </w:pPr>
    </w:p>
    <w:p>
      <w:pPr>
        <w:ind w:left="760"/>
        <w:spacing w:after="0"/>
        <w:rPr>
          <w:sz w:val="20"/>
          <w:szCs w:val="20"/>
          <w:color w:val="auto"/>
        </w:rPr>
      </w:pPr>
      <w:r>
        <w:rPr>
          <w:rFonts w:ascii="Arial" w:cs="Arial" w:eastAsia="Arial" w:hAnsi="Arial"/>
          <w:sz w:val="25"/>
          <w:szCs w:val="25"/>
          <w:b w:val="1"/>
          <w:bCs w:val="1"/>
          <w:color w:val="auto"/>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The amount of each participant’s awards, if any, for 2026 will be determined at the discretion of the Compensation Committee and therefore cannot be calculated. As a result, the benefits that will be awarded or paid under the 2026 LTIP are not currently determinable.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Approval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The affirmative vote of the holders of a majority in voting power of the shares of common stock present or represented by proxy and entitled to vote thereon is required to approve the Upbound Group, Inc. 2026 Long-Term Incentive Plan.</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Our Board of Directors recommends that you vote “FOR” approval of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right="820" w:firstLine="512"/>
        <w:spacing w:after="0" w:line="299" w:lineRule="auto"/>
        <w:rPr>
          <w:sz w:val="20"/>
          <w:szCs w:val="20"/>
          <w:color w:val="auto"/>
        </w:rPr>
      </w:pPr>
      <w:r>
        <w:rPr>
          <w:rFonts w:ascii="Arial" w:cs="Arial" w:eastAsia="Arial" w:hAnsi="Arial"/>
          <w:sz w:val="36"/>
          <w:szCs w:val="36"/>
          <w:b w:val="1"/>
          <w:bCs w:val="1"/>
          <w:color w:val="auto"/>
        </w:rPr>
        <w:t>SECURITY OWNERSHIP OF CERTAIN BENEFICIAL OWNERS AND MANAGEMENT</w:t>
      </w:r>
    </w:p>
    <w:p>
      <w:pPr>
        <w:spacing w:after="0" w:line="1" w:lineRule="exact"/>
        <w:rPr>
          <w:sz w:val="20"/>
          <w:szCs w:val="20"/>
          <w:color w:val="auto"/>
        </w:rPr>
      </w:pPr>
    </w:p>
    <w:p>
      <w:pPr>
        <w:jc w:val="both"/>
        <w:ind w:left="760" w:right="40"/>
        <w:spacing w:after="0" w:line="264" w:lineRule="auto"/>
        <w:rPr>
          <w:sz w:val="20"/>
          <w:szCs w:val="20"/>
          <w:color w:val="auto"/>
        </w:rPr>
      </w:pPr>
      <w:r>
        <w:rPr>
          <w:rFonts w:ascii="Arial" w:cs="Arial" w:eastAsia="Arial" w:hAnsi="Arial"/>
          <w:sz w:val="16"/>
          <w:szCs w:val="16"/>
          <w:color w:val="auto"/>
        </w:rPr>
        <w:t>The following table sets forth the common stock ownership for each of our directors, each of the named executive officers, all of our directors and executive officers as a group, and each of our known holders of 5% of our common stock. Unless otherwise indicated and subject to community property laws where applicable, we believe that each of the stockholders named in the table below beneficially own the shares indicated as beneficially owned. Information in the table is as of April 7, 2026, unless otherwise indicated. Under applicable SEC rules, the definition of beneficial ownership for purposes of this table includes shares over which a person has sole or shared voting power, or sole or shared power to invest or dispose of the shares, whether or not a person has any economic interest in the shares, and also includes shares for which the person has the right to acquire beneficial ownership within 60 days of April 7, 2026.</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4720" w:type="dxa"/>
            <w:vAlign w:val="bottom"/>
            <w:vMerge w:val="restart"/>
          </w:tcPr>
          <w:p>
            <w:pPr>
              <w:spacing w:after="0"/>
              <w:rPr>
                <w:sz w:val="20"/>
                <w:szCs w:val="20"/>
                <w:color w:val="auto"/>
              </w:rPr>
            </w:pPr>
            <w:r>
              <w:rPr>
                <w:rFonts w:ascii="Arial" w:cs="Arial" w:eastAsia="Arial" w:hAnsi="Arial"/>
                <w:sz w:val="15"/>
                <w:szCs w:val="15"/>
                <w:b w:val="1"/>
                <w:bCs w:val="1"/>
                <w:color w:val="auto"/>
              </w:rPr>
              <w:t>Name of Beneficial Owner</w:t>
            </w:r>
            <w:r>
              <w:rPr>
                <w:rFonts w:ascii="Arial" w:cs="Arial" w:eastAsia="Arial" w:hAnsi="Arial"/>
                <w:sz w:val="19"/>
                <w:szCs w:val="19"/>
                <w:b w:val="1"/>
                <w:bCs w:val="1"/>
                <w:color w:val="auto"/>
                <w:vertAlign w:val="superscript"/>
              </w:rPr>
              <w:t>(9)</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Arial" w:cs="Arial" w:eastAsia="Arial" w:hAnsi="Arial"/>
                <w:sz w:val="15"/>
                <w:szCs w:val="15"/>
                <w:b w:val="1"/>
                <w:bCs w:val="1"/>
                <w:color w:val="auto"/>
              </w:rPr>
              <w:t>Amount and Nature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Arial" w:cs="Arial" w:eastAsia="Arial" w:hAnsi="Arial"/>
                <w:sz w:val="15"/>
                <w:szCs w:val="15"/>
                <w:b w:val="1"/>
                <w:bCs w:val="1"/>
                <w:color w:val="auto"/>
              </w:rPr>
              <w:t>Percent of</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7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76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rPr>
              <w:t>of Beneficial Ownership</w:t>
            </w:r>
          </w:p>
        </w:tc>
        <w:tc>
          <w:tcPr>
            <w:tcW w:w="14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Common Stock</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rPr>
              <w:t>​</w:t>
            </w: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rPr>
              <w:t>​</w:t>
            </w: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E5E5E5"/>
          </w:tcPr>
          <w:p>
            <w:pPr>
              <w:ind w:left="40"/>
              <w:spacing w:after="0"/>
              <w:rPr>
                <w:sz w:val="20"/>
                <w:szCs w:val="20"/>
                <w:color w:val="auto"/>
              </w:rPr>
            </w:pPr>
            <w:r>
              <w:rPr>
                <w:rFonts w:ascii="Arial" w:cs="Arial" w:eastAsia="Arial" w:hAnsi="Arial"/>
                <w:sz w:val="15"/>
                <w:szCs w:val="15"/>
                <w:color w:val="auto"/>
              </w:rPr>
              <w:t>​Anthony Blasquez</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980" w:type="dxa"/>
            <w:vAlign w:val="bottom"/>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32,642​ ​</w:t>
            </w:r>
          </w:p>
        </w:tc>
        <w:tc>
          <w:tcPr>
            <w:tcW w:w="160" w:type="dxa"/>
            <w:vAlign w:val="bottom"/>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5E5E5"/>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E5E5E5"/>
          </w:tcPr>
          <w:p>
            <w:pPr>
              <w:jc w:val="right"/>
              <w:ind w:right="84"/>
              <w:spacing w:after="0"/>
              <w:rPr>
                <w:sz w:val="20"/>
                <w:szCs w:val="20"/>
                <w:color w:val="auto"/>
              </w:rPr>
            </w:pPr>
            <w:r>
              <w:rPr>
                <w:rFonts w:ascii="Arial" w:cs="Arial" w:eastAsia="Arial" w:hAnsi="Arial"/>
                <w:sz w:val="15"/>
                <w:szCs w:val="15"/>
                <w:color w:val="auto"/>
              </w:rPr>
              <w:t>*​</w:t>
            </w:r>
          </w:p>
        </w:tc>
        <w:tc>
          <w:tcPr>
            <w:tcW w:w="260" w:type="dxa"/>
            <w:vAlign w:val="bottom"/>
            <w:shd w:val="clear" w:color="auto" w:fill="E5E5E5"/>
          </w:tcPr>
          <w:p>
            <w:pPr>
              <w:jc w:val="right"/>
              <w:ind w:right="11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820" w:type="dxa"/>
            <w:vAlign w:val="bottom"/>
            <w:gridSpan w:val="2"/>
            <w:vMerge w:val="restart"/>
          </w:tcPr>
          <w:p>
            <w:pPr>
              <w:ind w:left="40"/>
              <w:spacing w:after="0"/>
              <w:rPr>
                <w:sz w:val="20"/>
                <w:szCs w:val="20"/>
                <w:color w:val="auto"/>
              </w:rPr>
            </w:pPr>
            <w:r>
              <w:rPr>
                <w:rFonts w:ascii="Arial" w:cs="Arial" w:eastAsia="Arial" w:hAnsi="Arial"/>
                <w:sz w:val="15"/>
                <w:szCs w:val="15"/>
                <w:color w:val="auto"/>
              </w:rPr>
              <w:t>​Jeffrey Brown</w:t>
            </w:r>
          </w:p>
        </w:tc>
        <w:tc>
          <w:tcPr>
            <w:tcW w:w="740" w:type="dxa"/>
            <w:vAlign w:val="bottom"/>
            <w:gridSpan w:val="2"/>
            <w:vMerge w:val="restart"/>
          </w:tcPr>
          <w:p>
            <w:pPr>
              <w:jc w:val="right"/>
              <w:spacing w:after="0"/>
              <w:rPr>
                <w:sz w:val="20"/>
                <w:szCs w:val="20"/>
                <w:color w:val="auto"/>
              </w:rPr>
            </w:pPr>
            <w:r>
              <w:rPr>
                <w:rFonts w:ascii="Arial" w:cs="Arial" w:eastAsia="Arial" w:hAnsi="Arial"/>
                <w:sz w:val="15"/>
                <w:szCs w:val="15"/>
                <w:color w:val="auto"/>
              </w:rPr>
              <w:t>​ ​</w:t>
            </w:r>
          </w:p>
        </w:tc>
        <w:tc>
          <w:tcPr>
            <w:tcW w:w="980" w:type="dxa"/>
            <w:vAlign w:val="bottom"/>
            <w:vMerge w:val="restart"/>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81"/>
              </w:rPr>
              <w:t>(1)</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8"/>
        </w:trPr>
        <w:tc>
          <w:tcPr>
            <w:tcW w:w="4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278,831​ ​</w:t>
            </w:r>
          </w:p>
        </w:tc>
        <w:tc>
          <w:tcPr>
            <w:tcW w:w="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0" w:type="dxa"/>
            <w:vAlign w:val="bottom"/>
            <w:vMerge w:val="restart"/>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720" w:type="dxa"/>
            <w:vAlign w:val="bottom"/>
            <w:shd w:val="clear" w:color="auto" w:fill="E5E5E5"/>
          </w:tcPr>
          <w:p>
            <w:pPr>
              <w:spacing w:after="0" w:line="203" w:lineRule="exact"/>
              <w:rPr>
                <w:sz w:val="20"/>
                <w:szCs w:val="20"/>
                <w:color w:val="auto"/>
              </w:rPr>
            </w:pPr>
            <w:r>
              <w:rPr>
                <w:rFonts w:ascii="Arial" w:cs="Arial" w:eastAsia="Arial" w:hAnsi="Arial"/>
                <w:sz w:val="15"/>
                <w:szCs w:val="15"/>
                <w:color w:val="auto"/>
              </w:rPr>
              <w:t>Mitchell Fadel</w:t>
            </w:r>
            <w:r>
              <w:rPr>
                <w:rFonts w:ascii="Arial" w:cs="Arial" w:eastAsia="Arial" w:hAnsi="Arial"/>
                <w:sz w:val="19"/>
                <w:szCs w:val="19"/>
                <w:color w:val="auto"/>
                <w:vertAlign w:val="superscript"/>
              </w:rPr>
              <w:t>(2)</w:t>
            </w:r>
          </w:p>
        </w:tc>
        <w:tc>
          <w:tcPr>
            <w:tcW w:w="640" w:type="dxa"/>
            <w:vAlign w:val="bottom"/>
            <w:vMerge w:val="restart"/>
            <w:shd w:val="clear" w:color="auto" w:fill="E5E5E5"/>
          </w:tcPr>
          <w:p>
            <w:pPr>
              <w:ind w:left="5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19,373</w:t>
            </w: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6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5E5E5"/>
          </w:tcPr>
          <w:p>
            <w:pPr>
              <w:ind w:left="820"/>
              <w:spacing w:after="0"/>
              <w:rPr>
                <w:sz w:val="20"/>
                <w:szCs w:val="20"/>
                <w:color w:val="auto"/>
              </w:rPr>
            </w:pPr>
            <w:r>
              <w:rPr>
                <w:rFonts w:ascii="Arial" w:cs="Arial" w:eastAsia="Arial" w:hAnsi="Arial"/>
                <w:sz w:val="15"/>
                <w:szCs w:val="15"/>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160" w:type="dxa"/>
            <w:vAlign w:val="bottom"/>
            <w:vMerge w:val="restart"/>
            <w:shd w:val="clear" w:color="auto" w:fill="E5E5E5"/>
          </w:tcPr>
          <w:p>
            <w:pPr>
              <w:jc w:val="right"/>
              <w:ind w:right="84"/>
              <w:spacing w:after="0"/>
              <w:rPr>
                <w:sz w:val="20"/>
                <w:szCs w:val="20"/>
                <w:color w:val="auto"/>
              </w:rPr>
            </w:pPr>
            <w:r>
              <w:rPr>
                <w:rFonts w:ascii="Arial" w:cs="Arial" w:eastAsia="Arial" w:hAnsi="Arial"/>
                <w:sz w:val="15"/>
                <w:szCs w:val="15"/>
                <w:color w:val="auto"/>
              </w:rPr>
              <w:t>​</w:t>
            </w:r>
          </w:p>
        </w:tc>
        <w:tc>
          <w:tcPr>
            <w:tcW w:w="260" w:type="dxa"/>
            <w:vAlign w:val="bottom"/>
            <w:vMerge w:val="restart"/>
            <w:shd w:val="clear" w:color="auto" w:fill="E5E5E5"/>
          </w:tcPr>
          <w:p>
            <w:pPr>
              <w:jc w:val="right"/>
              <w:ind w:right="11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shd w:val="clear" w:color="auto" w:fill="E5E5E5"/>
          </w:tcPr>
          <w:p>
            <w:pPr>
              <w:spacing w:after="0"/>
              <w:rPr>
                <w:sz w:val="4"/>
                <w:szCs w:val="4"/>
                <w:color w:val="auto"/>
              </w:rPr>
            </w:pPr>
          </w:p>
        </w:tc>
        <w:tc>
          <w:tcPr>
            <w:tcW w:w="4720" w:type="dxa"/>
            <w:vAlign w:val="bottom"/>
            <w:shd w:val="clear" w:color="auto" w:fill="E5E5E5"/>
          </w:tcPr>
          <w:p>
            <w:pPr>
              <w:spacing w:after="0"/>
              <w:rPr>
                <w:sz w:val="4"/>
                <w:szCs w:val="4"/>
                <w:color w:val="auto"/>
              </w:rPr>
            </w:pPr>
          </w:p>
        </w:tc>
        <w:tc>
          <w:tcPr>
            <w:tcW w:w="640" w:type="dxa"/>
            <w:vAlign w:val="bottom"/>
            <w:vMerge w:val="continue"/>
            <w:shd w:val="clear" w:color="auto" w:fill="E5E5E5"/>
          </w:tcPr>
          <w:p>
            <w:pPr>
              <w:spacing w:after="0"/>
              <w:rPr>
                <w:sz w:val="4"/>
                <w:szCs w:val="4"/>
                <w:color w:val="auto"/>
              </w:rPr>
            </w:pPr>
          </w:p>
        </w:tc>
        <w:tc>
          <w:tcPr>
            <w:tcW w:w="100" w:type="dxa"/>
            <w:vAlign w:val="bottom"/>
            <w:vMerge w:val="continue"/>
            <w:shd w:val="clear" w:color="auto" w:fill="E5E5E5"/>
          </w:tcPr>
          <w:p>
            <w:pPr>
              <w:spacing w:after="0"/>
              <w:rPr>
                <w:sz w:val="4"/>
                <w:szCs w:val="4"/>
                <w:color w:val="auto"/>
              </w:rPr>
            </w:pPr>
          </w:p>
        </w:tc>
        <w:tc>
          <w:tcPr>
            <w:tcW w:w="980" w:type="dxa"/>
            <w:vAlign w:val="bottom"/>
            <w:vMerge w:val="continue"/>
            <w:shd w:val="clear" w:color="auto" w:fill="E5E5E5"/>
          </w:tcPr>
          <w:p>
            <w:pPr>
              <w:spacing w:after="0"/>
              <w:rPr>
                <w:sz w:val="4"/>
                <w:szCs w:val="4"/>
                <w:color w:val="auto"/>
              </w:rPr>
            </w:pPr>
          </w:p>
        </w:tc>
        <w:tc>
          <w:tcPr>
            <w:tcW w:w="780" w:type="dxa"/>
            <w:vAlign w:val="bottom"/>
            <w:shd w:val="clear" w:color="auto" w:fill="E5E5E5"/>
          </w:tcPr>
          <w:p>
            <w:pPr>
              <w:spacing w:after="0"/>
              <w:rPr>
                <w:sz w:val="4"/>
                <w:szCs w:val="4"/>
                <w:color w:val="auto"/>
              </w:rPr>
            </w:pPr>
          </w:p>
        </w:tc>
        <w:tc>
          <w:tcPr>
            <w:tcW w:w="140" w:type="dxa"/>
            <w:vAlign w:val="bottom"/>
            <w:vMerge w:val="continue"/>
            <w:shd w:val="clear" w:color="auto" w:fill="E5E5E5"/>
          </w:tcPr>
          <w:p>
            <w:pPr>
              <w:spacing w:after="0"/>
              <w:rPr>
                <w:sz w:val="4"/>
                <w:szCs w:val="4"/>
                <w:color w:val="auto"/>
              </w:rPr>
            </w:pPr>
          </w:p>
        </w:tc>
        <w:tc>
          <w:tcPr>
            <w:tcW w:w="160" w:type="dxa"/>
            <w:vAlign w:val="bottom"/>
            <w:vMerge w:val="continue"/>
            <w:shd w:val="clear" w:color="auto" w:fill="E5E5E5"/>
          </w:tcPr>
          <w:p>
            <w:pPr>
              <w:spacing w:after="0"/>
              <w:rPr>
                <w:sz w:val="4"/>
                <w:szCs w:val="4"/>
                <w:color w:val="auto"/>
              </w:rPr>
            </w:pPr>
          </w:p>
        </w:tc>
        <w:tc>
          <w:tcPr>
            <w:tcW w:w="900" w:type="dxa"/>
            <w:vAlign w:val="bottom"/>
            <w:shd w:val="clear" w:color="auto" w:fill="E5E5E5"/>
          </w:tcPr>
          <w:p>
            <w:pPr>
              <w:ind w:left="800"/>
              <w:spacing w:after="0" w:line="54" w:lineRule="exact"/>
              <w:rPr>
                <w:sz w:val="20"/>
                <w:szCs w:val="20"/>
                <w:color w:val="auto"/>
              </w:rPr>
            </w:pPr>
            <w:r>
              <w:rPr>
                <w:rFonts w:ascii="Arial" w:cs="Arial" w:eastAsia="Arial" w:hAnsi="Arial"/>
                <w:sz w:val="5"/>
                <w:szCs w:val="5"/>
                <w:color w:val="auto"/>
              </w:rPr>
              <w:t>​</w:t>
            </w:r>
          </w:p>
        </w:tc>
        <w:tc>
          <w:tcPr>
            <w:tcW w:w="260" w:type="dxa"/>
            <w:vAlign w:val="bottom"/>
            <w:shd w:val="clear" w:color="auto" w:fill="E5E5E5"/>
          </w:tcPr>
          <w:p>
            <w:pPr>
              <w:spacing w:after="0"/>
              <w:rPr>
                <w:sz w:val="4"/>
                <w:szCs w:val="4"/>
                <w:color w:val="auto"/>
              </w:rPr>
            </w:pPr>
          </w:p>
        </w:tc>
        <w:tc>
          <w:tcPr>
            <w:tcW w:w="160" w:type="dxa"/>
            <w:vAlign w:val="bottom"/>
            <w:vMerge w:val="continue"/>
            <w:shd w:val="clear" w:color="auto" w:fill="E5E5E5"/>
          </w:tcPr>
          <w:p>
            <w:pPr>
              <w:spacing w:after="0"/>
              <w:rPr>
                <w:sz w:val="4"/>
                <w:szCs w:val="4"/>
                <w:color w:val="auto"/>
              </w:rPr>
            </w:pPr>
          </w:p>
        </w:tc>
        <w:tc>
          <w:tcPr>
            <w:tcW w:w="26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820" w:type="dxa"/>
            <w:vAlign w:val="bottom"/>
            <w:gridSpan w:val="2"/>
            <w:vMerge w:val="restart"/>
          </w:tcPr>
          <w:p>
            <w:pPr>
              <w:ind w:left="40"/>
              <w:spacing w:after="0"/>
              <w:rPr>
                <w:sz w:val="20"/>
                <w:szCs w:val="20"/>
                <w:color w:val="auto"/>
              </w:rPr>
            </w:pPr>
            <w:r>
              <w:rPr>
                <w:rFonts w:ascii="Arial" w:cs="Arial" w:eastAsia="Arial" w:hAnsi="Arial"/>
                <w:sz w:val="15"/>
                <w:szCs w:val="15"/>
                <w:color w:val="auto"/>
              </w:rPr>
              <w:t>​Charu Jain</w:t>
            </w:r>
          </w:p>
        </w:tc>
        <w:tc>
          <w:tcPr>
            <w:tcW w:w="740" w:type="dxa"/>
            <w:vAlign w:val="bottom"/>
            <w:gridSpan w:val="2"/>
            <w:vMerge w:val="restart"/>
          </w:tcPr>
          <w:p>
            <w:pPr>
              <w:jc w:val="right"/>
              <w:spacing w:after="0"/>
              <w:rPr>
                <w:sz w:val="20"/>
                <w:szCs w:val="20"/>
                <w:color w:val="auto"/>
              </w:rPr>
            </w:pPr>
            <w:r>
              <w:rPr>
                <w:rFonts w:ascii="Arial" w:cs="Arial" w:eastAsia="Arial" w:hAnsi="Arial"/>
                <w:sz w:val="15"/>
                <w:szCs w:val="15"/>
                <w:color w:val="auto"/>
              </w:rPr>
              <w:t>​ ​</w:t>
            </w:r>
          </w:p>
        </w:tc>
        <w:tc>
          <w:tcPr>
            <w:tcW w:w="980" w:type="dxa"/>
            <w:vAlign w:val="bottom"/>
            <w:vMerge w:val="restart"/>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81"/>
              </w:rPr>
              <w:t>(3)</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8"/>
        </w:trPr>
        <w:tc>
          <w:tcPr>
            <w:tcW w:w="4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24,646​ ​</w:t>
            </w:r>
          </w:p>
        </w:tc>
        <w:tc>
          <w:tcPr>
            <w:tcW w:w="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E5E5E5"/>
          </w:tcPr>
          <w:p>
            <w:pPr>
              <w:ind w:left="40"/>
              <w:spacing w:after="0"/>
              <w:rPr>
                <w:sz w:val="20"/>
                <w:szCs w:val="20"/>
                <w:color w:val="auto"/>
              </w:rPr>
            </w:pPr>
            <w:r>
              <w:rPr>
                <w:rFonts w:ascii="Arial" w:cs="Arial" w:eastAsia="Arial" w:hAnsi="Arial"/>
                <w:sz w:val="15"/>
                <w:szCs w:val="15"/>
                <w:color w:val="auto"/>
              </w:rPr>
              <w:t>​Fahmi Karam</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980" w:type="dxa"/>
            <w:vAlign w:val="bottom"/>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134,443​ ​</w:t>
            </w:r>
          </w:p>
        </w:tc>
        <w:tc>
          <w:tcPr>
            <w:tcW w:w="160" w:type="dxa"/>
            <w:vAlign w:val="bottom"/>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5E5E5"/>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E5E5E5"/>
          </w:tcPr>
          <w:p>
            <w:pPr>
              <w:jc w:val="right"/>
              <w:ind w:right="84"/>
              <w:spacing w:after="0"/>
              <w:rPr>
                <w:sz w:val="20"/>
                <w:szCs w:val="20"/>
                <w:color w:val="auto"/>
              </w:rPr>
            </w:pPr>
            <w:r>
              <w:rPr>
                <w:rFonts w:ascii="Arial" w:cs="Arial" w:eastAsia="Arial" w:hAnsi="Arial"/>
                <w:sz w:val="15"/>
                <w:szCs w:val="15"/>
                <w:color w:val="auto"/>
              </w:rPr>
              <w:t>*​</w:t>
            </w:r>
          </w:p>
        </w:tc>
        <w:tc>
          <w:tcPr>
            <w:tcW w:w="260" w:type="dxa"/>
            <w:vAlign w:val="bottom"/>
            <w:shd w:val="clear" w:color="auto" w:fill="E5E5E5"/>
          </w:tcPr>
          <w:p>
            <w:pPr>
              <w:jc w:val="right"/>
              <w:ind w:right="11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​Hal Khouri</w:t>
            </w:r>
          </w:p>
        </w:tc>
        <w:tc>
          <w:tcPr>
            <w:tcW w:w="640" w:type="dxa"/>
            <w:vAlign w:val="bottom"/>
          </w:tcPr>
          <w:p>
            <w:pPr>
              <w:ind w:left="5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0​ ​</w:t>
            </w:r>
          </w:p>
        </w:tc>
        <w:tc>
          <w:tcPr>
            <w:tcW w:w="160" w:type="dxa"/>
            <w:vAlign w:val="bottom"/>
          </w:tcPr>
          <w:p>
            <w:pPr>
              <w:ind w:left="100"/>
              <w:spacing w:after="0"/>
              <w:rPr>
                <w:sz w:val="20"/>
                <w:szCs w:val="20"/>
                <w:color w:val="auto"/>
              </w:rPr>
            </w:pPr>
            <w:r>
              <w:rPr>
                <w:rFonts w:ascii="Arial" w:cs="Arial" w:eastAsia="Arial" w:hAnsi="Arial"/>
                <w:sz w:val="15"/>
                <w:szCs w:val="15"/>
                <w:color w:val="auto"/>
              </w:rPr>
              <w:t>​</w:t>
            </w:r>
          </w:p>
        </w:tc>
        <w:tc>
          <w:tcPr>
            <w:tcW w:w="900" w:type="dxa"/>
            <w:vAlign w:val="bottom"/>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4820" w:type="dxa"/>
            <w:vAlign w:val="bottom"/>
            <w:gridSpan w:val="2"/>
            <w:vMerge w:val="restart"/>
            <w:shd w:val="clear" w:color="auto" w:fill="E5E5E5"/>
          </w:tcPr>
          <w:p>
            <w:pPr>
              <w:ind w:left="40"/>
              <w:spacing w:after="0"/>
              <w:rPr>
                <w:sz w:val="20"/>
                <w:szCs w:val="20"/>
                <w:color w:val="auto"/>
              </w:rPr>
            </w:pPr>
            <w:r>
              <w:rPr>
                <w:rFonts w:ascii="Arial" w:cs="Arial" w:eastAsia="Arial" w:hAnsi="Arial"/>
                <w:sz w:val="15"/>
                <w:szCs w:val="15"/>
                <w:color w:val="auto"/>
              </w:rPr>
              <w:t>​Molly Langenstein</w:t>
            </w:r>
          </w:p>
        </w:tc>
        <w:tc>
          <w:tcPr>
            <w:tcW w:w="740" w:type="dxa"/>
            <w:vAlign w:val="bottom"/>
            <w:gridSpan w:val="2"/>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980" w:type="dxa"/>
            <w:vAlign w:val="bottom"/>
            <w:vMerge w:val="restart"/>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5E5E5"/>
          </w:tcPr>
          <w:p>
            <w:pPr>
              <w:spacing w:after="0"/>
              <w:rPr>
                <w:sz w:val="11"/>
                <w:szCs w:val="11"/>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(3)</w:t>
            </w:r>
          </w:p>
        </w:tc>
        <w:tc>
          <w:tcPr>
            <w:tcW w:w="16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E5E5E5"/>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shd w:val="clear" w:color="auto" w:fill="E5E5E5"/>
          </w:tcPr>
          <w:p>
            <w:pPr>
              <w:jc w:val="right"/>
              <w:ind w:right="84"/>
              <w:spacing w:after="0"/>
              <w:rPr>
                <w:sz w:val="20"/>
                <w:szCs w:val="20"/>
                <w:color w:val="auto"/>
              </w:rPr>
            </w:pPr>
            <w:r>
              <w:rPr>
                <w:rFonts w:ascii="Arial" w:cs="Arial" w:eastAsia="Arial" w:hAnsi="Arial"/>
                <w:sz w:val="15"/>
                <w:szCs w:val="15"/>
                <w:color w:val="auto"/>
              </w:rPr>
              <w:t>*​</w:t>
            </w:r>
          </w:p>
        </w:tc>
        <w:tc>
          <w:tcPr>
            <w:tcW w:w="260" w:type="dxa"/>
            <w:vAlign w:val="bottom"/>
            <w:vMerge w:val="restart"/>
            <w:shd w:val="clear" w:color="auto" w:fill="E5E5E5"/>
          </w:tcPr>
          <w:p>
            <w:pPr>
              <w:jc w:val="right"/>
              <w:ind w:right="11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20" w:type="dxa"/>
            <w:vAlign w:val="bottom"/>
            <w:gridSpan w:val="2"/>
            <w:vMerge w:val="continue"/>
            <w:shd w:val="clear" w:color="auto" w:fill="E5E5E5"/>
          </w:tcPr>
          <w:p>
            <w:pPr>
              <w:spacing w:after="0"/>
              <w:rPr>
                <w:sz w:val="9"/>
                <w:szCs w:val="9"/>
                <w:color w:val="auto"/>
              </w:rPr>
            </w:pPr>
          </w:p>
        </w:tc>
        <w:tc>
          <w:tcPr>
            <w:tcW w:w="740" w:type="dxa"/>
            <w:vAlign w:val="bottom"/>
            <w:gridSpan w:val="2"/>
            <w:vMerge w:val="continue"/>
            <w:shd w:val="clear" w:color="auto" w:fill="E5E5E5"/>
          </w:tcPr>
          <w:p>
            <w:pPr>
              <w:spacing w:after="0"/>
              <w:rPr>
                <w:sz w:val="9"/>
                <w:szCs w:val="9"/>
                <w:color w:val="auto"/>
              </w:rPr>
            </w:pPr>
          </w:p>
        </w:tc>
        <w:tc>
          <w:tcPr>
            <w:tcW w:w="980" w:type="dxa"/>
            <w:vAlign w:val="bottom"/>
            <w:vMerge w:val="continue"/>
            <w:shd w:val="clear" w:color="auto" w:fill="E5E5E5"/>
          </w:tcPr>
          <w:p>
            <w:pPr>
              <w:spacing w:after="0"/>
              <w:rPr>
                <w:sz w:val="9"/>
                <w:szCs w:val="9"/>
                <w:color w:val="auto"/>
              </w:rPr>
            </w:pPr>
          </w:p>
        </w:tc>
        <w:tc>
          <w:tcPr>
            <w:tcW w:w="920" w:type="dxa"/>
            <w:vAlign w:val="bottom"/>
            <w:gridSpan w:val="2"/>
            <w:shd w:val="clear" w:color="auto" w:fill="E5E5E5"/>
          </w:tcPr>
          <w:p>
            <w:pPr>
              <w:jc w:val="right"/>
              <w:spacing w:after="0" w:line="108" w:lineRule="exact"/>
              <w:rPr>
                <w:sz w:val="20"/>
                <w:szCs w:val="20"/>
                <w:color w:val="auto"/>
              </w:rPr>
            </w:pPr>
            <w:r>
              <w:rPr>
                <w:rFonts w:ascii="Arial" w:cs="Arial" w:eastAsia="Arial" w:hAnsi="Arial"/>
                <w:sz w:val="12"/>
                <w:szCs w:val="12"/>
                <w:color w:val="auto"/>
              </w:rPr>
              <w:t>31,133​ ​</w:t>
            </w:r>
          </w:p>
        </w:tc>
        <w:tc>
          <w:tcPr>
            <w:tcW w:w="160" w:type="dxa"/>
            <w:vAlign w:val="bottom"/>
            <w:vMerge w:val="continue"/>
            <w:shd w:val="clear" w:color="auto" w:fill="E5E5E5"/>
          </w:tcPr>
          <w:p>
            <w:pPr>
              <w:spacing w:after="0"/>
              <w:rPr>
                <w:sz w:val="9"/>
                <w:szCs w:val="9"/>
                <w:color w:val="auto"/>
              </w:rPr>
            </w:pPr>
          </w:p>
        </w:tc>
        <w:tc>
          <w:tcPr>
            <w:tcW w:w="900" w:type="dxa"/>
            <w:vAlign w:val="bottom"/>
            <w:vMerge w:val="continue"/>
            <w:shd w:val="clear" w:color="auto" w:fill="E5E5E5"/>
          </w:tcPr>
          <w:p>
            <w:pPr>
              <w:spacing w:after="0"/>
              <w:rPr>
                <w:sz w:val="9"/>
                <w:szCs w:val="9"/>
                <w:color w:val="auto"/>
              </w:rPr>
            </w:pPr>
          </w:p>
        </w:tc>
        <w:tc>
          <w:tcPr>
            <w:tcW w:w="420" w:type="dxa"/>
            <w:vAlign w:val="bottom"/>
            <w:gridSpan w:val="2"/>
            <w:vMerge w:val="continue"/>
            <w:shd w:val="clear" w:color="auto" w:fill="E5E5E5"/>
          </w:tcPr>
          <w:p>
            <w:pPr>
              <w:spacing w:after="0"/>
              <w:rPr>
                <w:sz w:val="9"/>
                <w:szCs w:val="9"/>
                <w:color w:val="auto"/>
              </w:rPr>
            </w:pPr>
          </w:p>
        </w:tc>
        <w:tc>
          <w:tcPr>
            <w:tcW w:w="260" w:type="dxa"/>
            <w:vAlign w:val="bottom"/>
            <w:vMerge w:val="continue"/>
            <w:shd w:val="clear" w:color="auto" w:fill="E5E5E5"/>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20" w:type="dxa"/>
            <w:vAlign w:val="bottom"/>
            <w:gridSpan w:val="2"/>
            <w:vMerge w:val="restart"/>
          </w:tcPr>
          <w:p>
            <w:pPr>
              <w:ind w:left="40"/>
              <w:spacing w:after="0"/>
              <w:rPr>
                <w:sz w:val="20"/>
                <w:szCs w:val="20"/>
                <w:color w:val="auto"/>
              </w:rPr>
            </w:pPr>
            <w:r>
              <w:rPr>
                <w:rFonts w:ascii="Arial" w:cs="Arial" w:eastAsia="Arial" w:hAnsi="Arial"/>
                <w:sz w:val="15"/>
                <w:szCs w:val="15"/>
                <w:color w:val="auto"/>
              </w:rPr>
              <w:t>​Harold Lewis</w:t>
            </w:r>
          </w:p>
        </w:tc>
        <w:tc>
          <w:tcPr>
            <w:tcW w:w="740" w:type="dxa"/>
            <w:vAlign w:val="bottom"/>
            <w:gridSpan w:val="2"/>
            <w:vMerge w:val="restart"/>
          </w:tcPr>
          <w:p>
            <w:pPr>
              <w:jc w:val="right"/>
              <w:spacing w:after="0"/>
              <w:rPr>
                <w:sz w:val="20"/>
                <w:szCs w:val="20"/>
                <w:color w:val="auto"/>
              </w:rPr>
            </w:pPr>
            <w:r>
              <w:rPr>
                <w:rFonts w:ascii="Arial" w:cs="Arial" w:eastAsia="Arial" w:hAnsi="Arial"/>
                <w:sz w:val="15"/>
                <w:szCs w:val="15"/>
                <w:color w:val="auto"/>
              </w:rPr>
              <w:t>​ ​</w:t>
            </w:r>
          </w:p>
        </w:tc>
        <w:tc>
          <w:tcPr>
            <w:tcW w:w="980" w:type="dxa"/>
            <w:vAlign w:val="bottom"/>
            <w:vMerge w:val="restart"/>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81"/>
              </w:rPr>
              <w:t>(3)</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8"/>
        </w:trPr>
        <w:tc>
          <w:tcPr>
            <w:tcW w:w="4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35,818​ ​</w:t>
            </w:r>
          </w:p>
        </w:tc>
        <w:tc>
          <w:tcPr>
            <w:tcW w:w="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20" w:type="dxa"/>
            <w:vAlign w:val="bottom"/>
            <w:gridSpan w:val="2"/>
            <w:vMerge w:val="restart"/>
            <w:shd w:val="clear" w:color="auto" w:fill="E5E5E5"/>
          </w:tcPr>
          <w:p>
            <w:pPr>
              <w:ind w:left="40"/>
              <w:spacing w:after="0"/>
              <w:rPr>
                <w:sz w:val="20"/>
                <w:szCs w:val="20"/>
                <w:color w:val="auto"/>
              </w:rPr>
            </w:pPr>
            <w:r>
              <w:rPr>
                <w:rFonts w:ascii="Arial" w:cs="Arial" w:eastAsia="Arial" w:hAnsi="Arial"/>
                <w:sz w:val="15"/>
                <w:szCs w:val="15"/>
                <w:color w:val="auto"/>
              </w:rPr>
              <w:t>​Glenn Marino</w:t>
            </w:r>
          </w:p>
        </w:tc>
        <w:tc>
          <w:tcPr>
            <w:tcW w:w="740" w:type="dxa"/>
            <w:vAlign w:val="bottom"/>
            <w:gridSpan w:val="2"/>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980" w:type="dxa"/>
            <w:vAlign w:val="bottom"/>
            <w:vMerge w:val="restart"/>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5E5E5"/>
          </w:tcPr>
          <w:p>
            <w:pPr>
              <w:spacing w:after="0"/>
              <w:rPr>
                <w:sz w:val="11"/>
                <w:szCs w:val="11"/>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(3)</w:t>
            </w:r>
          </w:p>
        </w:tc>
        <w:tc>
          <w:tcPr>
            <w:tcW w:w="16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E5E5E5"/>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shd w:val="clear" w:color="auto" w:fill="E5E5E5"/>
          </w:tcPr>
          <w:p>
            <w:pPr>
              <w:jc w:val="right"/>
              <w:ind w:right="84"/>
              <w:spacing w:after="0"/>
              <w:rPr>
                <w:sz w:val="20"/>
                <w:szCs w:val="20"/>
                <w:color w:val="auto"/>
              </w:rPr>
            </w:pPr>
            <w:r>
              <w:rPr>
                <w:rFonts w:ascii="Arial" w:cs="Arial" w:eastAsia="Arial" w:hAnsi="Arial"/>
                <w:sz w:val="15"/>
                <w:szCs w:val="15"/>
                <w:color w:val="auto"/>
              </w:rPr>
              <w:t>*​</w:t>
            </w:r>
          </w:p>
        </w:tc>
        <w:tc>
          <w:tcPr>
            <w:tcW w:w="260" w:type="dxa"/>
            <w:vAlign w:val="bottom"/>
            <w:vMerge w:val="restart"/>
            <w:shd w:val="clear" w:color="auto" w:fill="E5E5E5"/>
          </w:tcPr>
          <w:p>
            <w:pPr>
              <w:jc w:val="right"/>
              <w:ind w:right="11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20" w:type="dxa"/>
            <w:vAlign w:val="bottom"/>
            <w:gridSpan w:val="2"/>
            <w:vMerge w:val="continue"/>
            <w:shd w:val="clear" w:color="auto" w:fill="E5E5E5"/>
          </w:tcPr>
          <w:p>
            <w:pPr>
              <w:spacing w:after="0"/>
              <w:rPr>
                <w:sz w:val="9"/>
                <w:szCs w:val="9"/>
                <w:color w:val="auto"/>
              </w:rPr>
            </w:pPr>
          </w:p>
        </w:tc>
        <w:tc>
          <w:tcPr>
            <w:tcW w:w="740" w:type="dxa"/>
            <w:vAlign w:val="bottom"/>
            <w:gridSpan w:val="2"/>
            <w:vMerge w:val="continue"/>
            <w:shd w:val="clear" w:color="auto" w:fill="E5E5E5"/>
          </w:tcPr>
          <w:p>
            <w:pPr>
              <w:spacing w:after="0"/>
              <w:rPr>
                <w:sz w:val="9"/>
                <w:szCs w:val="9"/>
                <w:color w:val="auto"/>
              </w:rPr>
            </w:pPr>
          </w:p>
        </w:tc>
        <w:tc>
          <w:tcPr>
            <w:tcW w:w="980" w:type="dxa"/>
            <w:vAlign w:val="bottom"/>
            <w:vMerge w:val="continue"/>
            <w:shd w:val="clear" w:color="auto" w:fill="E5E5E5"/>
          </w:tcPr>
          <w:p>
            <w:pPr>
              <w:spacing w:after="0"/>
              <w:rPr>
                <w:sz w:val="9"/>
                <w:szCs w:val="9"/>
                <w:color w:val="auto"/>
              </w:rPr>
            </w:pPr>
          </w:p>
        </w:tc>
        <w:tc>
          <w:tcPr>
            <w:tcW w:w="920" w:type="dxa"/>
            <w:vAlign w:val="bottom"/>
            <w:gridSpan w:val="2"/>
            <w:shd w:val="clear" w:color="auto" w:fill="E5E5E5"/>
          </w:tcPr>
          <w:p>
            <w:pPr>
              <w:jc w:val="right"/>
              <w:spacing w:after="0" w:line="108" w:lineRule="exact"/>
              <w:rPr>
                <w:sz w:val="20"/>
                <w:szCs w:val="20"/>
                <w:color w:val="auto"/>
              </w:rPr>
            </w:pPr>
            <w:r>
              <w:rPr>
                <w:rFonts w:ascii="Arial" w:cs="Arial" w:eastAsia="Arial" w:hAnsi="Arial"/>
                <w:sz w:val="12"/>
                <w:szCs w:val="12"/>
                <w:color w:val="auto"/>
              </w:rPr>
              <w:t>62,924​ ​</w:t>
            </w:r>
          </w:p>
        </w:tc>
        <w:tc>
          <w:tcPr>
            <w:tcW w:w="160" w:type="dxa"/>
            <w:vAlign w:val="bottom"/>
            <w:vMerge w:val="continue"/>
            <w:shd w:val="clear" w:color="auto" w:fill="E5E5E5"/>
          </w:tcPr>
          <w:p>
            <w:pPr>
              <w:spacing w:after="0"/>
              <w:rPr>
                <w:sz w:val="9"/>
                <w:szCs w:val="9"/>
                <w:color w:val="auto"/>
              </w:rPr>
            </w:pPr>
          </w:p>
        </w:tc>
        <w:tc>
          <w:tcPr>
            <w:tcW w:w="900" w:type="dxa"/>
            <w:vAlign w:val="bottom"/>
            <w:vMerge w:val="continue"/>
            <w:shd w:val="clear" w:color="auto" w:fill="E5E5E5"/>
          </w:tcPr>
          <w:p>
            <w:pPr>
              <w:spacing w:after="0"/>
              <w:rPr>
                <w:sz w:val="9"/>
                <w:szCs w:val="9"/>
                <w:color w:val="auto"/>
              </w:rPr>
            </w:pPr>
          </w:p>
        </w:tc>
        <w:tc>
          <w:tcPr>
            <w:tcW w:w="420" w:type="dxa"/>
            <w:vAlign w:val="bottom"/>
            <w:gridSpan w:val="2"/>
            <w:vMerge w:val="continue"/>
            <w:shd w:val="clear" w:color="auto" w:fill="E5E5E5"/>
          </w:tcPr>
          <w:p>
            <w:pPr>
              <w:spacing w:after="0"/>
              <w:rPr>
                <w:sz w:val="9"/>
                <w:szCs w:val="9"/>
                <w:color w:val="auto"/>
              </w:rPr>
            </w:pPr>
          </w:p>
        </w:tc>
        <w:tc>
          <w:tcPr>
            <w:tcW w:w="260" w:type="dxa"/>
            <w:vAlign w:val="bottom"/>
            <w:vMerge w:val="continue"/>
            <w:shd w:val="clear" w:color="auto" w:fill="E5E5E5"/>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ind w:left="40"/>
              <w:spacing w:after="0"/>
              <w:rPr>
                <w:sz w:val="20"/>
                <w:szCs w:val="20"/>
                <w:color w:val="auto"/>
              </w:rPr>
            </w:pPr>
            <w:r>
              <w:rPr>
                <w:rFonts w:ascii="Arial" w:cs="Arial" w:eastAsia="Arial" w:hAnsi="Arial"/>
                <w:sz w:val="15"/>
                <w:szCs w:val="15"/>
                <w:color w:val="auto"/>
              </w:rPr>
              <w:t>​Carol McFate</w:t>
            </w:r>
          </w:p>
        </w:tc>
        <w:tc>
          <w:tcPr>
            <w:tcW w:w="740" w:type="dxa"/>
            <w:vAlign w:val="bottom"/>
            <w:gridSpan w:val="2"/>
            <w:vMerge w:val="restart"/>
          </w:tcPr>
          <w:p>
            <w:pPr>
              <w:jc w:val="right"/>
              <w:spacing w:after="0"/>
              <w:rPr>
                <w:sz w:val="20"/>
                <w:szCs w:val="20"/>
                <w:color w:val="auto"/>
              </w:rPr>
            </w:pPr>
            <w:r>
              <w:rPr>
                <w:rFonts w:ascii="Arial" w:cs="Arial" w:eastAsia="Arial" w:hAnsi="Arial"/>
                <w:sz w:val="15"/>
                <w:szCs w:val="15"/>
                <w:color w:val="auto"/>
              </w:rPr>
              <w:t>​ ​</w:t>
            </w:r>
          </w:p>
        </w:tc>
        <w:tc>
          <w:tcPr>
            <w:tcW w:w="980" w:type="dxa"/>
            <w:vAlign w:val="bottom"/>
            <w:vMerge w:val="restart"/>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81"/>
              </w:rPr>
              <w:t>(3)</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8"/>
        </w:trPr>
        <w:tc>
          <w:tcPr>
            <w:tcW w:w="4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47,759​ ​</w:t>
            </w:r>
          </w:p>
        </w:tc>
        <w:tc>
          <w:tcPr>
            <w:tcW w:w="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4820" w:type="dxa"/>
            <w:vAlign w:val="bottom"/>
            <w:gridSpan w:val="2"/>
            <w:shd w:val="clear" w:color="auto" w:fill="E5E5E5"/>
          </w:tcPr>
          <w:p>
            <w:pPr>
              <w:ind w:left="40"/>
              <w:spacing w:after="0"/>
              <w:rPr>
                <w:sz w:val="20"/>
                <w:szCs w:val="20"/>
                <w:color w:val="auto"/>
              </w:rPr>
            </w:pPr>
            <w:r>
              <w:rPr>
                <w:rFonts w:ascii="Arial" w:cs="Arial" w:eastAsia="Arial" w:hAnsi="Arial"/>
                <w:sz w:val="15"/>
                <w:szCs w:val="15"/>
                <w:color w:val="auto"/>
              </w:rPr>
              <w:t>​Tyler Montrone</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980" w:type="dxa"/>
            <w:vAlign w:val="bottom"/>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44,692​ ​</w:t>
            </w:r>
          </w:p>
        </w:tc>
        <w:tc>
          <w:tcPr>
            <w:tcW w:w="160" w:type="dxa"/>
            <w:vAlign w:val="bottom"/>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5E5E5"/>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E5E5E5"/>
          </w:tcPr>
          <w:p>
            <w:pPr>
              <w:jc w:val="right"/>
              <w:ind w:right="84"/>
              <w:spacing w:after="0"/>
              <w:rPr>
                <w:sz w:val="20"/>
                <w:szCs w:val="20"/>
                <w:color w:val="auto"/>
              </w:rPr>
            </w:pPr>
            <w:r>
              <w:rPr>
                <w:rFonts w:ascii="Arial" w:cs="Arial" w:eastAsia="Arial" w:hAnsi="Arial"/>
                <w:sz w:val="15"/>
                <w:szCs w:val="15"/>
                <w:color w:val="auto"/>
              </w:rPr>
              <w:t>*​</w:t>
            </w:r>
          </w:p>
        </w:tc>
        <w:tc>
          <w:tcPr>
            <w:tcW w:w="260" w:type="dxa"/>
            <w:vAlign w:val="bottom"/>
            <w:shd w:val="clear" w:color="auto" w:fill="E5E5E5"/>
          </w:tcPr>
          <w:p>
            <w:pPr>
              <w:jc w:val="right"/>
              <w:ind w:right="11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​Bryan Pechersky</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980" w:type="dxa"/>
            <w:vAlign w:val="bottom"/>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18,163​ ​</w:t>
            </w:r>
          </w:p>
        </w:tc>
        <w:tc>
          <w:tcPr>
            <w:tcW w:w="160" w:type="dxa"/>
            <w:vAlign w:val="bottom"/>
          </w:tcPr>
          <w:p>
            <w:pPr>
              <w:ind w:left="100"/>
              <w:spacing w:after="0"/>
              <w:rPr>
                <w:sz w:val="20"/>
                <w:szCs w:val="20"/>
                <w:color w:val="auto"/>
              </w:rPr>
            </w:pPr>
            <w:r>
              <w:rPr>
                <w:rFonts w:ascii="Arial" w:cs="Arial" w:eastAsia="Arial" w:hAnsi="Arial"/>
                <w:sz w:val="15"/>
                <w:szCs w:val="15"/>
                <w:color w:val="auto"/>
              </w:rPr>
              <w:t>​</w:t>
            </w:r>
          </w:p>
        </w:tc>
        <w:tc>
          <w:tcPr>
            <w:tcW w:w="900" w:type="dxa"/>
            <w:vAlign w:val="bottom"/>
          </w:tcPr>
          <w:p>
            <w:pPr>
              <w:ind w:left="80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100" w:type="dxa"/>
            <w:vAlign w:val="bottom"/>
            <w:vMerge w:val="restart"/>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720" w:type="dxa"/>
            <w:vAlign w:val="bottom"/>
            <w:shd w:val="clear" w:color="auto" w:fill="E5E5E5"/>
          </w:tcPr>
          <w:p>
            <w:pPr>
              <w:spacing w:after="0" w:line="216" w:lineRule="exact"/>
              <w:rPr>
                <w:sz w:val="20"/>
                <w:szCs w:val="20"/>
                <w:color w:val="auto"/>
              </w:rPr>
            </w:pPr>
            <w:r>
              <w:rPr>
                <w:rFonts w:ascii="Arial" w:cs="Arial" w:eastAsia="Arial" w:hAnsi="Arial"/>
                <w:sz w:val="15"/>
                <w:szCs w:val="15"/>
                <w:b w:val="1"/>
                <w:bCs w:val="1"/>
                <w:color w:val="auto"/>
              </w:rPr>
              <w:t>All executive officers and directors as a group (14 total)</w:t>
            </w:r>
            <w:r>
              <w:rPr>
                <w:rFonts w:ascii="Arial" w:cs="Arial" w:eastAsia="Arial" w:hAnsi="Arial"/>
                <w:sz w:val="19"/>
                <w:szCs w:val="19"/>
                <w:b w:val="1"/>
                <w:bCs w:val="1"/>
                <w:color w:val="auto"/>
                <w:vertAlign w:val="superscript"/>
              </w:rPr>
              <w:t>(8)</w:t>
            </w:r>
          </w:p>
        </w:tc>
        <w:tc>
          <w:tcPr>
            <w:tcW w:w="640" w:type="dxa"/>
            <w:vAlign w:val="bottom"/>
            <w:vMerge w:val="restart"/>
            <w:shd w:val="clear" w:color="auto" w:fill="E5E5E5"/>
          </w:tcPr>
          <w:p>
            <w:pPr>
              <w:ind w:left="5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729,192</w:t>
            </w: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 ​</w:t>
            </w:r>
          </w:p>
        </w:tc>
        <w:tc>
          <w:tcPr>
            <w:tcW w:w="16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5E5E5"/>
          </w:tcPr>
          <w:p>
            <w:pPr>
              <w:ind w:left="820"/>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1.2%</w:t>
            </w:r>
          </w:p>
        </w:tc>
        <w:tc>
          <w:tcPr>
            <w:tcW w:w="260" w:type="dxa"/>
            <w:vAlign w:val="bottom"/>
            <w:vMerge w:val="restart"/>
            <w:shd w:val="clear" w:color="auto" w:fill="E5E5E5"/>
          </w:tcPr>
          <w:p>
            <w:pPr>
              <w:jc w:val="right"/>
              <w:ind w:right="11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shd w:val="clear" w:color="auto" w:fill="E5E5E5"/>
          </w:tcPr>
          <w:p>
            <w:pPr>
              <w:spacing w:after="0"/>
              <w:rPr>
                <w:sz w:val="4"/>
                <w:szCs w:val="4"/>
                <w:color w:val="auto"/>
              </w:rPr>
            </w:pPr>
          </w:p>
        </w:tc>
        <w:tc>
          <w:tcPr>
            <w:tcW w:w="4720" w:type="dxa"/>
            <w:vAlign w:val="bottom"/>
            <w:shd w:val="clear" w:color="auto" w:fill="E5E5E5"/>
          </w:tcPr>
          <w:p>
            <w:pPr>
              <w:spacing w:after="0"/>
              <w:rPr>
                <w:sz w:val="4"/>
                <w:szCs w:val="4"/>
                <w:color w:val="auto"/>
              </w:rPr>
            </w:pPr>
          </w:p>
        </w:tc>
        <w:tc>
          <w:tcPr>
            <w:tcW w:w="640" w:type="dxa"/>
            <w:vAlign w:val="bottom"/>
            <w:vMerge w:val="continue"/>
            <w:shd w:val="clear" w:color="auto" w:fill="E5E5E5"/>
          </w:tcPr>
          <w:p>
            <w:pPr>
              <w:spacing w:after="0"/>
              <w:rPr>
                <w:sz w:val="4"/>
                <w:szCs w:val="4"/>
                <w:color w:val="auto"/>
              </w:rPr>
            </w:pPr>
          </w:p>
        </w:tc>
        <w:tc>
          <w:tcPr>
            <w:tcW w:w="100" w:type="dxa"/>
            <w:vAlign w:val="bottom"/>
            <w:vMerge w:val="continue"/>
            <w:shd w:val="clear" w:color="auto" w:fill="E5E5E5"/>
          </w:tcPr>
          <w:p>
            <w:pPr>
              <w:spacing w:after="0"/>
              <w:rPr>
                <w:sz w:val="4"/>
                <w:szCs w:val="4"/>
                <w:color w:val="auto"/>
              </w:rPr>
            </w:pPr>
          </w:p>
        </w:tc>
        <w:tc>
          <w:tcPr>
            <w:tcW w:w="980" w:type="dxa"/>
            <w:vAlign w:val="bottom"/>
            <w:vMerge w:val="continue"/>
            <w:shd w:val="clear" w:color="auto" w:fill="E5E5E5"/>
          </w:tcPr>
          <w:p>
            <w:pPr>
              <w:spacing w:after="0"/>
              <w:rPr>
                <w:sz w:val="4"/>
                <w:szCs w:val="4"/>
                <w:color w:val="auto"/>
              </w:rPr>
            </w:pPr>
          </w:p>
        </w:tc>
        <w:tc>
          <w:tcPr>
            <w:tcW w:w="780" w:type="dxa"/>
            <w:vAlign w:val="bottom"/>
            <w:shd w:val="clear" w:color="auto" w:fill="E5E5E5"/>
          </w:tcPr>
          <w:p>
            <w:pPr>
              <w:spacing w:after="0"/>
              <w:rPr>
                <w:sz w:val="4"/>
                <w:szCs w:val="4"/>
                <w:color w:val="auto"/>
              </w:rPr>
            </w:pPr>
          </w:p>
        </w:tc>
        <w:tc>
          <w:tcPr>
            <w:tcW w:w="140" w:type="dxa"/>
            <w:vAlign w:val="bottom"/>
            <w:vMerge w:val="continue"/>
            <w:shd w:val="clear" w:color="auto" w:fill="E5E5E5"/>
          </w:tcPr>
          <w:p>
            <w:pPr>
              <w:spacing w:after="0"/>
              <w:rPr>
                <w:sz w:val="4"/>
                <w:szCs w:val="4"/>
                <w:color w:val="auto"/>
              </w:rPr>
            </w:pPr>
          </w:p>
        </w:tc>
        <w:tc>
          <w:tcPr>
            <w:tcW w:w="160" w:type="dxa"/>
            <w:vAlign w:val="bottom"/>
            <w:vMerge w:val="continue"/>
            <w:shd w:val="clear" w:color="auto" w:fill="E5E5E5"/>
          </w:tcPr>
          <w:p>
            <w:pPr>
              <w:spacing w:after="0"/>
              <w:rPr>
                <w:sz w:val="4"/>
                <w:szCs w:val="4"/>
                <w:color w:val="auto"/>
              </w:rPr>
            </w:pPr>
          </w:p>
        </w:tc>
        <w:tc>
          <w:tcPr>
            <w:tcW w:w="900" w:type="dxa"/>
            <w:vAlign w:val="bottom"/>
            <w:shd w:val="clear" w:color="auto" w:fill="E5E5E5"/>
          </w:tcPr>
          <w:p>
            <w:pPr>
              <w:ind w:left="800"/>
              <w:spacing w:after="0" w:line="54" w:lineRule="exact"/>
              <w:rPr>
                <w:sz w:val="20"/>
                <w:szCs w:val="20"/>
                <w:color w:val="auto"/>
              </w:rPr>
            </w:pPr>
            <w:r>
              <w:rPr>
                <w:rFonts w:ascii="Arial" w:cs="Arial" w:eastAsia="Arial" w:hAnsi="Arial"/>
                <w:sz w:val="5"/>
                <w:szCs w:val="5"/>
                <w:color w:val="auto"/>
              </w:rPr>
              <w:t>​</w:t>
            </w:r>
          </w:p>
        </w:tc>
        <w:tc>
          <w:tcPr>
            <w:tcW w:w="260" w:type="dxa"/>
            <w:vAlign w:val="bottom"/>
            <w:shd w:val="clear" w:color="auto" w:fill="E5E5E5"/>
          </w:tcPr>
          <w:p>
            <w:pPr>
              <w:spacing w:after="0"/>
              <w:rPr>
                <w:sz w:val="4"/>
                <w:szCs w:val="4"/>
                <w:color w:val="auto"/>
              </w:rPr>
            </w:pPr>
          </w:p>
        </w:tc>
        <w:tc>
          <w:tcPr>
            <w:tcW w:w="160" w:type="dxa"/>
            <w:vAlign w:val="bottom"/>
            <w:shd w:val="clear" w:color="auto" w:fill="E5E5E5"/>
          </w:tcPr>
          <w:p>
            <w:pPr>
              <w:jc w:val="right"/>
              <w:ind w:right="84"/>
              <w:spacing w:after="0" w:line="54" w:lineRule="exact"/>
              <w:rPr>
                <w:sz w:val="20"/>
                <w:szCs w:val="20"/>
                <w:color w:val="auto"/>
              </w:rPr>
            </w:pPr>
            <w:r>
              <w:rPr>
                <w:rFonts w:ascii="Arial" w:cs="Arial" w:eastAsia="Arial" w:hAnsi="Arial"/>
                <w:sz w:val="5"/>
                <w:szCs w:val="5"/>
                <w:color w:val="auto"/>
              </w:rPr>
              <w:t>​</w:t>
            </w:r>
          </w:p>
        </w:tc>
        <w:tc>
          <w:tcPr>
            <w:tcW w:w="260" w:type="dxa"/>
            <w:vAlign w:val="bottom"/>
            <w:vMerge w:val="continue"/>
            <w:shd w:val="clear" w:color="auto" w:fill="E5E5E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720" w:type="dxa"/>
            <w:vAlign w:val="bottom"/>
          </w:tcPr>
          <w:p>
            <w:pPr>
              <w:spacing w:after="0"/>
              <w:rPr>
                <w:sz w:val="20"/>
                <w:szCs w:val="20"/>
                <w:color w:val="auto"/>
              </w:rPr>
            </w:pPr>
            <w:r>
              <w:rPr>
                <w:rFonts w:ascii="Arial" w:cs="Arial" w:eastAsia="Arial" w:hAnsi="Arial"/>
                <w:sz w:val="15"/>
                <w:szCs w:val="15"/>
                <w:color w:val="auto"/>
              </w:rPr>
              <w:t>Aaron Allred</w:t>
            </w:r>
          </w:p>
        </w:tc>
        <w:tc>
          <w:tcPr>
            <w:tcW w:w="640" w:type="dxa"/>
            <w:vAlign w:val="bottom"/>
            <w:vMerge w:val="restart"/>
          </w:tcPr>
          <w:p>
            <w:pPr>
              <w:ind w:left="58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tcPr>
          <w:p>
            <w:pPr>
              <w:jc w:val="right"/>
              <w:spacing w:after="0" w:line="203" w:lineRule="exact"/>
              <w:rPr>
                <w:sz w:val="20"/>
                <w:szCs w:val="20"/>
                <w:color w:val="auto"/>
              </w:rPr>
            </w:pPr>
            <w:r>
              <w:rPr>
                <w:rFonts w:ascii="Arial" w:cs="Arial" w:eastAsia="Arial" w:hAnsi="Arial"/>
                <w:sz w:val="15"/>
                <w:szCs w:val="15"/>
                <w:color w:val="auto"/>
              </w:rPr>
              <w:t>4,101,233</w:t>
            </w:r>
            <w:r>
              <w:rPr>
                <w:rFonts w:ascii="Arial" w:cs="Arial" w:eastAsia="Arial" w:hAnsi="Arial"/>
                <w:sz w:val="19"/>
                <w:szCs w:val="19"/>
                <w:color w:val="auto"/>
                <w:vertAlign w:val="superscript"/>
              </w:rPr>
              <w:t>(4)</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900" w:type="dxa"/>
            <w:vAlign w:val="bottom"/>
          </w:tcPr>
          <w:p>
            <w:pPr>
              <w:ind w:left="82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95"/>
              <w:spacing w:after="0" w:line="203" w:lineRule="exact"/>
              <w:rPr>
                <w:sz w:val="20"/>
                <w:szCs w:val="20"/>
                <w:color w:val="auto"/>
              </w:rPr>
            </w:pPr>
            <w:r>
              <w:rPr>
                <w:rFonts w:ascii="Arial" w:cs="Arial" w:eastAsia="Arial" w:hAnsi="Arial"/>
                <w:sz w:val="15"/>
                <w:szCs w:val="15"/>
                <w:color w:val="auto"/>
              </w:rPr>
              <w:t>7.0%</w:t>
            </w:r>
            <w:r>
              <w:rPr>
                <w:rFonts w:ascii="Arial" w:cs="Arial" w:eastAsia="Arial" w:hAnsi="Arial"/>
                <w:sz w:val="19"/>
                <w:szCs w:val="19"/>
                <w:color w:val="auto"/>
                <w:vertAlign w:val="superscript"/>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4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Arial" w:cs="Arial" w:eastAsia="Arial" w:hAnsi="Arial"/>
                <w:sz w:val="5"/>
                <w:szCs w:val="5"/>
                <w:color w:val="auto"/>
              </w:rPr>
              <w:t>​ ​</w:t>
            </w:r>
          </w:p>
        </w:tc>
        <w:tc>
          <w:tcPr>
            <w:tcW w:w="160" w:type="dxa"/>
            <w:vAlign w:val="bottom"/>
            <w:vMerge w:val="continue"/>
          </w:tcPr>
          <w:p>
            <w:pPr>
              <w:spacing w:after="0"/>
              <w:rPr>
                <w:sz w:val="4"/>
                <w:szCs w:val="4"/>
                <w:color w:val="auto"/>
              </w:rPr>
            </w:pPr>
          </w:p>
        </w:tc>
        <w:tc>
          <w:tcPr>
            <w:tcW w:w="900" w:type="dxa"/>
            <w:vAlign w:val="bottom"/>
          </w:tcPr>
          <w:p>
            <w:pPr>
              <w:ind w:left="800"/>
              <w:spacing w:after="0" w:line="54" w:lineRule="exact"/>
              <w:rPr>
                <w:sz w:val="20"/>
                <w:szCs w:val="20"/>
                <w:color w:val="auto"/>
              </w:rPr>
            </w:pPr>
            <w:r>
              <w:rPr>
                <w:rFonts w:ascii="Arial" w:cs="Arial" w:eastAsia="Arial" w:hAnsi="Arial"/>
                <w:sz w:val="5"/>
                <w:szCs w:val="5"/>
                <w:color w:val="auto"/>
              </w:rPr>
              <w:t>​</w:t>
            </w:r>
          </w:p>
        </w:tc>
        <w:tc>
          <w:tcPr>
            <w:tcW w:w="260" w:type="dxa"/>
            <w:vAlign w:val="bottom"/>
          </w:tcPr>
          <w:p>
            <w:pPr>
              <w:spacing w:after="0"/>
              <w:rPr>
                <w:sz w:val="4"/>
                <w:szCs w:val="4"/>
                <w:color w:val="auto"/>
              </w:rPr>
            </w:pPr>
          </w:p>
        </w:tc>
        <w:tc>
          <w:tcPr>
            <w:tcW w:w="160" w:type="dxa"/>
            <w:vAlign w:val="bottom"/>
          </w:tcPr>
          <w:p>
            <w:pPr>
              <w:jc w:val="right"/>
              <w:ind w:right="84"/>
              <w:spacing w:after="0" w:line="54" w:lineRule="exact"/>
              <w:rPr>
                <w:sz w:val="20"/>
                <w:szCs w:val="20"/>
                <w:color w:val="auto"/>
              </w:rPr>
            </w:pPr>
            <w:r>
              <w:rPr>
                <w:rFonts w:ascii="Arial" w:cs="Arial" w:eastAsia="Arial" w:hAnsi="Arial"/>
                <w:sz w:val="5"/>
                <w:szCs w:val="5"/>
                <w:color w:val="auto"/>
              </w:rPr>
              <w:t>​</w:t>
            </w:r>
          </w:p>
        </w:tc>
        <w:tc>
          <w:tcPr>
            <w:tcW w:w="300" w:type="dxa"/>
            <w:vAlign w:val="bottom"/>
            <w:gridSpan w:val="2"/>
          </w:tcPr>
          <w:p>
            <w:pPr>
              <w:jc w:val="right"/>
              <w:ind w:right="144"/>
              <w:spacing w:after="0" w:line="54"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3"/>
        </w:trPr>
        <w:tc>
          <w:tcPr>
            <w:tcW w:w="100" w:type="dxa"/>
            <w:vAlign w:val="bottom"/>
            <w:vMerge w:val="restart"/>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720" w:type="dxa"/>
            <w:vAlign w:val="bottom"/>
            <w:shd w:val="clear" w:color="auto" w:fill="E5E5E5"/>
          </w:tcPr>
          <w:p>
            <w:pPr>
              <w:spacing w:after="0"/>
              <w:rPr>
                <w:sz w:val="20"/>
                <w:szCs w:val="20"/>
                <w:color w:val="auto"/>
              </w:rPr>
            </w:pPr>
            <w:r>
              <w:rPr>
                <w:rFonts w:ascii="Arial" w:cs="Arial" w:eastAsia="Arial" w:hAnsi="Arial"/>
                <w:sz w:val="15"/>
                <w:szCs w:val="15"/>
                <w:color w:val="auto"/>
              </w:rPr>
              <w:t>BlackRock, Inc.</w:t>
            </w:r>
          </w:p>
        </w:tc>
        <w:tc>
          <w:tcPr>
            <w:tcW w:w="640" w:type="dxa"/>
            <w:vAlign w:val="bottom"/>
            <w:vMerge w:val="restart"/>
            <w:shd w:val="clear" w:color="auto" w:fill="E5E5E5"/>
          </w:tcPr>
          <w:p>
            <w:pPr>
              <w:ind w:left="5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E5E5E5"/>
          </w:tcPr>
          <w:p>
            <w:pPr>
              <w:jc w:val="right"/>
              <w:spacing w:after="0" w:line="203" w:lineRule="exact"/>
              <w:rPr>
                <w:sz w:val="20"/>
                <w:szCs w:val="20"/>
                <w:color w:val="auto"/>
              </w:rPr>
            </w:pPr>
            <w:r>
              <w:rPr>
                <w:rFonts w:ascii="Arial" w:cs="Arial" w:eastAsia="Arial" w:hAnsi="Arial"/>
                <w:sz w:val="15"/>
                <w:szCs w:val="15"/>
                <w:color w:val="auto"/>
              </w:rPr>
              <w:t>7,860,363</w:t>
            </w:r>
            <w:r>
              <w:rPr>
                <w:rFonts w:ascii="Arial" w:cs="Arial" w:eastAsia="Arial" w:hAnsi="Arial"/>
                <w:sz w:val="19"/>
                <w:szCs w:val="19"/>
                <w:color w:val="auto"/>
                <w:vertAlign w:val="superscript"/>
              </w:rPr>
              <w:t>(5)</w:t>
            </w:r>
          </w:p>
        </w:tc>
        <w:tc>
          <w:tcPr>
            <w:tcW w:w="16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1580" w:type="dxa"/>
            <w:vAlign w:val="bottom"/>
            <w:gridSpan w:val="4"/>
            <w:shd w:val="clear" w:color="auto" w:fill="E5E5E5"/>
          </w:tcPr>
          <w:p>
            <w:pPr>
              <w:jc w:val="right"/>
              <w:ind w:right="95"/>
              <w:spacing w:after="0" w:line="203" w:lineRule="exact"/>
              <w:rPr>
                <w:sz w:val="20"/>
                <w:szCs w:val="20"/>
                <w:color w:val="auto"/>
              </w:rPr>
            </w:pPr>
            <w:r>
              <w:rPr>
                <w:rFonts w:ascii="Arial" w:cs="Arial" w:eastAsia="Arial" w:hAnsi="Arial"/>
                <w:sz w:val="15"/>
                <w:szCs w:val="15"/>
                <w:color w:val="auto"/>
              </w:rPr>
              <w:t>​13.5%</w:t>
            </w:r>
            <w:r>
              <w:rPr>
                <w:rFonts w:ascii="Arial" w:cs="Arial" w:eastAsia="Arial" w:hAnsi="Arial"/>
                <w:sz w:val="19"/>
                <w:szCs w:val="19"/>
                <w:color w:val="auto"/>
                <w:vertAlign w:val="superscript"/>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shd w:val="clear" w:color="auto" w:fill="E5E5E5"/>
          </w:tcPr>
          <w:p>
            <w:pPr>
              <w:spacing w:after="0"/>
              <w:rPr>
                <w:sz w:val="4"/>
                <w:szCs w:val="4"/>
                <w:color w:val="auto"/>
              </w:rPr>
            </w:pPr>
          </w:p>
        </w:tc>
        <w:tc>
          <w:tcPr>
            <w:tcW w:w="4720" w:type="dxa"/>
            <w:vAlign w:val="bottom"/>
            <w:shd w:val="clear" w:color="auto" w:fill="E5E5E5"/>
          </w:tcPr>
          <w:p>
            <w:pPr>
              <w:spacing w:after="0"/>
              <w:rPr>
                <w:sz w:val="4"/>
                <w:szCs w:val="4"/>
                <w:color w:val="auto"/>
              </w:rPr>
            </w:pPr>
          </w:p>
        </w:tc>
        <w:tc>
          <w:tcPr>
            <w:tcW w:w="640" w:type="dxa"/>
            <w:vAlign w:val="bottom"/>
            <w:vMerge w:val="continue"/>
            <w:shd w:val="clear" w:color="auto" w:fill="E5E5E5"/>
          </w:tcPr>
          <w:p>
            <w:pPr>
              <w:spacing w:after="0"/>
              <w:rPr>
                <w:sz w:val="4"/>
                <w:szCs w:val="4"/>
                <w:color w:val="auto"/>
              </w:rPr>
            </w:pPr>
          </w:p>
        </w:tc>
        <w:tc>
          <w:tcPr>
            <w:tcW w:w="100" w:type="dxa"/>
            <w:vAlign w:val="bottom"/>
            <w:vMerge w:val="continue"/>
            <w:shd w:val="clear" w:color="auto" w:fill="E5E5E5"/>
          </w:tcPr>
          <w:p>
            <w:pPr>
              <w:spacing w:after="0"/>
              <w:rPr>
                <w:sz w:val="4"/>
                <w:szCs w:val="4"/>
                <w:color w:val="auto"/>
              </w:rPr>
            </w:pPr>
          </w:p>
        </w:tc>
        <w:tc>
          <w:tcPr>
            <w:tcW w:w="980" w:type="dxa"/>
            <w:vAlign w:val="bottom"/>
            <w:vMerge w:val="continue"/>
            <w:shd w:val="clear" w:color="auto" w:fill="E5E5E5"/>
          </w:tcPr>
          <w:p>
            <w:pPr>
              <w:spacing w:after="0"/>
              <w:rPr>
                <w:sz w:val="4"/>
                <w:szCs w:val="4"/>
                <w:color w:val="auto"/>
              </w:rPr>
            </w:pPr>
          </w:p>
        </w:tc>
        <w:tc>
          <w:tcPr>
            <w:tcW w:w="780" w:type="dxa"/>
            <w:vAlign w:val="bottom"/>
            <w:shd w:val="clear" w:color="auto" w:fill="E5E5E5"/>
          </w:tcPr>
          <w:p>
            <w:pPr>
              <w:spacing w:after="0"/>
              <w:rPr>
                <w:sz w:val="4"/>
                <w:szCs w:val="4"/>
                <w:color w:val="auto"/>
              </w:rPr>
            </w:pPr>
          </w:p>
        </w:tc>
        <w:tc>
          <w:tcPr>
            <w:tcW w:w="140" w:type="dxa"/>
            <w:vAlign w:val="bottom"/>
            <w:shd w:val="clear" w:color="auto" w:fill="E5E5E5"/>
          </w:tcPr>
          <w:p>
            <w:pPr>
              <w:jc w:val="right"/>
              <w:spacing w:after="0" w:line="54" w:lineRule="exact"/>
              <w:rPr>
                <w:sz w:val="20"/>
                <w:szCs w:val="20"/>
                <w:color w:val="auto"/>
              </w:rPr>
            </w:pPr>
            <w:r>
              <w:rPr>
                <w:rFonts w:ascii="Arial" w:cs="Arial" w:eastAsia="Arial" w:hAnsi="Arial"/>
                <w:sz w:val="5"/>
                <w:szCs w:val="5"/>
                <w:color w:val="auto"/>
              </w:rPr>
              <w:t>​ ​</w:t>
            </w:r>
          </w:p>
        </w:tc>
        <w:tc>
          <w:tcPr>
            <w:tcW w:w="160" w:type="dxa"/>
            <w:vAlign w:val="bottom"/>
            <w:vMerge w:val="continue"/>
            <w:shd w:val="clear" w:color="auto" w:fill="E5E5E5"/>
          </w:tcPr>
          <w:p>
            <w:pPr>
              <w:spacing w:after="0"/>
              <w:rPr>
                <w:sz w:val="4"/>
                <w:szCs w:val="4"/>
                <w:color w:val="auto"/>
              </w:rPr>
            </w:pPr>
          </w:p>
        </w:tc>
        <w:tc>
          <w:tcPr>
            <w:tcW w:w="900" w:type="dxa"/>
            <w:vAlign w:val="bottom"/>
            <w:shd w:val="clear" w:color="auto" w:fill="E5E5E5"/>
          </w:tcPr>
          <w:p>
            <w:pPr>
              <w:ind w:left="800"/>
              <w:spacing w:after="0" w:line="54" w:lineRule="exact"/>
              <w:rPr>
                <w:sz w:val="20"/>
                <w:szCs w:val="20"/>
                <w:color w:val="auto"/>
              </w:rPr>
            </w:pPr>
            <w:r>
              <w:rPr>
                <w:rFonts w:ascii="Arial" w:cs="Arial" w:eastAsia="Arial" w:hAnsi="Arial"/>
                <w:sz w:val="5"/>
                <w:szCs w:val="5"/>
                <w:color w:val="auto"/>
              </w:rPr>
              <w:t>​</w:t>
            </w:r>
          </w:p>
        </w:tc>
        <w:tc>
          <w:tcPr>
            <w:tcW w:w="260" w:type="dxa"/>
            <w:vAlign w:val="bottom"/>
            <w:shd w:val="clear" w:color="auto" w:fill="E5E5E5"/>
          </w:tcPr>
          <w:p>
            <w:pPr>
              <w:spacing w:after="0"/>
              <w:rPr>
                <w:sz w:val="4"/>
                <w:szCs w:val="4"/>
                <w:color w:val="auto"/>
              </w:rPr>
            </w:pPr>
          </w:p>
        </w:tc>
        <w:tc>
          <w:tcPr>
            <w:tcW w:w="160" w:type="dxa"/>
            <w:vAlign w:val="bottom"/>
            <w:shd w:val="clear" w:color="auto" w:fill="E5E5E5"/>
          </w:tcPr>
          <w:p>
            <w:pPr>
              <w:jc w:val="right"/>
              <w:ind w:right="84"/>
              <w:spacing w:after="0" w:line="54" w:lineRule="exact"/>
              <w:rPr>
                <w:sz w:val="20"/>
                <w:szCs w:val="20"/>
                <w:color w:val="auto"/>
              </w:rPr>
            </w:pPr>
            <w:r>
              <w:rPr>
                <w:rFonts w:ascii="Arial" w:cs="Arial" w:eastAsia="Arial" w:hAnsi="Arial"/>
                <w:sz w:val="5"/>
                <w:szCs w:val="5"/>
                <w:color w:val="auto"/>
              </w:rPr>
              <w:t>​</w:t>
            </w:r>
          </w:p>
        </w:tc>
        <w:tc>
          <w:tcPr>
            <w:tcW w:w="260" w:type="dxa"/>
            <w:vAlign w:val="bottom"/>
            <w:shd w:val="clear" w:color="auto" w:fill="E5E5E5"/>
          </w:tcPr>
          <w:p>
            <w:pPr>
              <w:jc w:val="right"/>
              <w:ind w:right="115"/>
              <w:spacing w:after="0" w:line="54"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720" w:type="dxa"/>
            <w:vAlign w:val="bottom"/>
          </w:tcPr>
          <w:p>
            <w:pPr>
              <w:spacing w:after="0"/>
              <w:rPr>
                <w:sz w:val="20"/>
                <w:szCs w:val="20"/>
                <w:color w:val="auto"/>
              </w:rPr>
            </w:pPr>
            <w:r>
              <w:rPr>
                <w:rFonts w:ascii="Arial" w:cs="Arial" w:eastAsia="Arial" w:hAnsi="Arial"/>
                <w:sz w:val="15"/>
                <w:szCs w:val="15"/>
                <w:color w:val="auto"/>
              </w:rPr>
              <w:t>FMR LLC</w:t>
            </w:r>
          </w:p>
        </w:tc>
        <w:tc>
          <w:tcPr>
            <w:tcW w:w="640" w:type="dxa"/>
            <w:vAlign w:val="bottom"/>
            <w:vMerge w:val="restart"/>
          </w:tcPr>
          <w:p>
            <w:pPr>
              <w:ind w:left="58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900" w:type="dxa"/>
            <w:vAlign w:val="bottom"/>
            <w:gridSpan w:val="3"/>
          </w:tcPr>
          <w:p>
            <w:pPr>
              <w:jc w:val="right"/>
              <w:spacing w:after="0" w:line="203" w:lineRule="exact"/>
              <w:rPr>
                <w:sz w:val="20"/>
                <w:szCs w:val="20"/>
                <w:color w:val="auto"/>
              </w:rPr>
            </w:pPr>
            <w:r>
              <w:rPr>
                <w:rFonts w:ascii="Arial" w:cs="Arial" w:eastAsia="Arial" w:hAnsi="Arial"/>
                <w:sz w:val="15"/>
                <w:szCs w:val="15"/>
                <w:color w:val="auto"/>
              </w:rPr>
              <w:t>5,197,355.75</w:t>
            </w:r>
            <w:r>
              <w:rPr>
                <w:rFonts w:ascii="Arial" w:cs="Arial" w:eastAsia="Arial" w:hAnsi="Arial"/>
                <w:sz w:val="19"/>
                <w:szCs w:val="19"/>
                <w:color w:val="auto"/>
                <w:vertAlign w:val="superscript"/>
              </w:rPr>
              <w:t>(6)</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900" w:type="dxa"/>
            <w:vAlign w:val="bottom"/>
          </w:tcPr>
          <w:p>
            <w:pPr>
              <w:ind w:left="82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95"/>
              <w:spacing w:after="0" w:line="203" w:lineRule="exact"/>
              <w:rPr>
                <w:sz w:val="20"/>
                <w:szCs w:val="20"/>
                <w:color w:val="auto"/>
              </w:rPr>
            </w:pPr>
            <w:r>
              <w:rPr>
                <w:rFonts w:ascii="Arial" w:cs="Arial" w:eastAsia="Arial" w:hAnsi="Arial"/>
                <w:sz w:val="15"/>
                <w:szCs w:val="15"/>
                <w:color w:val="auto"/>
              </w:rPr>
              <w:t>8.9%</w:t>
            </w:r>
            <w:r>
              <w:rPr>
                <w:rFonts w:ascii="Arial" w:cs="Arial" w:eastAsia="Arial" w:hAnsi="Arial"/>
                <w:sz w:val="19"/>
                <w:szCs w:val="19"/>
                <w:color w:val="auto"/>
                <w:vertAlign w:val="superscript"/>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4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80" w:type="dxa"/>
            <w:vAlign w:val="bottom"/>
          </w:tcPr>
          <w:p>
            <w:pPr>
              <w:jc w:val="center"/>
              <w:ind w:left="668"/>
              <w:spacing w:after="0" w:line="54" w:lineRule="exact"/>
              <w:rPr>
                <w:sz w:val="20"/>
                <w:szCs w:val="20"/>
                <w:color w:val="auto"/>
              </w:rPr>
            </w:pPr>
            <w:r>
              <w:rPr>
                <w:rFonts w:ascii="Arial" w:cs="Arial" w:eastAsia="Arial" w:hAnsi="Arial"/>
                <w:sz w:val="5"/>
                <w:szCs w:val="5"/>
                <w:b w:val="1"/>
                <w:bCs w:val="1"/>
                <w:color w:val="auto"/>
              </w:rPr>
              <w:t>​</w:t>
            </w:r>
          </w:p>
        </w:tc>
        <w:tc>
          <w:tcPr>
            <w:tcW w:w="78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Arial" w:cs="Arial" w:eastAsia="Arial" w:hAnsi="Arial"/>
                <w:sz w:val="5"/>
                <w:szCs w:val="5"/>
                <w:color w:val="auto"/>
              </w:rPr>
              <w:t>​ ​</w:t>
            </w:r>
          </w:p>
        </w:tc>
        <w:tc>
          <w:tcPr>
            <w:tcW w:w="160" w:type="dxa"/>
            <w:vAlign w:val="bottom"/>
            <w:vMerge w:val="continue"/>
          </w:tcPr>
          <w:p>
            <w:pPr>
              <w:spacing w:after="0"/>
              <w:rPr>
                <w:sz w:val="4"/>
                <w:szCs w:val="4"/>
                <w:color w:val="auto"/>
              </w:rPr>
            </w:pPr>
          </w:p>
        </w:tc>
        <w:tc>
          <w:tcPr>
            <w:tcW w:w="900" w:type="dxa"/>
            <w:vAlign w:val="bottom"/>
          </w:tcPr>
          <w:p>
            <w:pPr>
              <w:ind w:left="800"/>
              <w:spacing w:after="0" w:line="54" w:lineRule="exact"/>
              <w:rPr>
                <w:sz w:val="20"/>
                <w:szCs w:val="20"/>
                <w:color w:val="auto"/>
              </w:rPr>
            </w:pPr>
            <w:r>
              <w:rPr>
                <w:rFonts w:ascii="Arial" w:cs="Arial" w:eastAsia="Arial" w:hAnsi="Arial"/>
                <w:sz w:val="5"/>
                <w:szCs w:val="5"/>
                <w:color w:val="auto"/>
              </w:rPr>
              <w:t>​</w:t>
            </w:r>
          </w:p>
        </w:tc>
        <w:tc>
          <w:tcPr>
            <w:tcW w:w="260" w:type="dxa"/>
            <w:vAlign w:val="bottom"/>
          </w:tcPr>
          <w:p>
            <w:pPr>
              <w:spacing w:after="0"/>
              <w:rPr>
                <w:sz w:val="4"/>
                <w:szCs w:val="4"/>
                <w:color w:val="auto"/>
              </w:rPr>
            </w:pPr>
          </w:p>
        </w:tc>
        <w:tc>
          <w:tcPr>
            <w:tcW w:w="160" w:type="dxa"/>
            <w:vAlign w:val="bottom"/>
          </w:tcPr>
          <w:p>
            <w:pPr>
              <w:jc w:val="right"/>
              <w:ind w:right="84"/>
              <w:spacing w:after="0" w:line="54" w:lineRule="exact"/>
              <w:rPr>
                <w:sz w:val="20"/>
                <w:szCs w:val="20"/>
                <w:color w:val="auto"/>
              </w:rPr>
            </w:pPr>
            <w:r>
              <w:rPr>
                <w:rFonts w:ascii="Arial" w:cs="Arial" w:eastAsia="Arial" w:hAnsi="Arial"/>
                <w:sz w:val="5"/>
                <w:szCs w:val="5"/>
                <w:color w:val="auto"/>
              </w:rPr>
              <w:t>​</w:t>
            </w:r>
          </w:p>
        </w:tc>
        <w:tc>
          <w:tcPr>
            <w:tcW w:w="300" w:type="dxa"/>
            <w:vAlign w:val="bottom"/>
            <w:gridSpan w:val="2"/>
          </w:tcPr>
          <w:p>
            <w:pPr>
              <w:jc w:val="right"/>
              <w:ind w:right="144"/>
              <w:spacing w:after="0" w:line="54"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3"/>
        </w:trPr>
        <w:tc>
          <w:tcPr>
            <w:tcW w:w="100" w:type="dxa"/>
            <w:vAlign w:val="bottom"/>
            <w:vMerge w:val="restart"/>
            <w:shd w:val="clear" w:color="auto" w:fill="E5E5E5"/>
          </w:tcPr>
          <w:p>
            <w:pPr>
              <w:ind w:left="40"/>
              <w:spacing w:after="0"/>
              <w:rPr>
                <w:sz w:val="20"/>
                <w:szCs w:val="20"/>
                <w:color w:val="auto"/>
              </w:rPr>
            </w:pPr>
            <w:r>
              <w:rPr>
                <w:rFonts w:ascii="Arial" w:cs="Arial" w:eastAsia="Arial" w:hAnsi="Arial"/>
                <w:sz w:val="15"/>
                <w:szCs w:val="15"/>
                <w:color w:val="auto"/>
              </w:rPr>
              <w:t>​</w:t>
            </w:r>
          </w:p>
        </w:tc>
        <w:tc>
          <w:tcPr>
            <w:tcW w:w="4720" w:type="dxa"/>
            <w:vAlign w:val="bottom"/>
            <w:shd w:val="clear" w:color="auto" w:fill="E5E5E5"/>
          </w:tcPr>
          <w:p>
            <w:pPr>
              <w:spacing w:after="0"/>
              <w:rPr>
                <w:sz w:val="20"/>
                <w:szCs w:val="20"/>
                <w:color w:val="auto"/>
              </w:rPr>
            </w:pPr>
            <w:r>
              <w:rPr>
                <w:rFonts w:ascii="Arial" w:cs="Arial" w:eastAsia="Arial" w:hAnsi="Arial"/>
                <w:sz w:val="15"/>
                <w:szCs w:val="15"/>
                <w:color w:val="auto"/>
              </w:rPr>
              <w:t>IEQ Capital, LLC</w:t>
            </w:r>
          </w:p>
        </w:tc>
        <w:tc>
          <w:tcPr>
            <w:tcW w:w="640" w:type="dxa"/>
            <w:vAlign w:val="bottom"/>
            <w:vMerge w:val="restart"/>
            <w:shd w:val="clear" w:color="auto" w:fill="E5E5E5"/>
          </w:tcPr>
          <w:p>
            <w:pPr>
              <w:ind w:left="5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E5E5E5"/>
          </w:tcPr>
          <w:p>
            <w:pPr>
              <w:jc w:val="center"/>
              <w:ind w:left="668"/>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E5E5E5"/>
          </w:tcPr>
          <w:p>
            <w:pPr>
              <w:jc w:val="right"/>
              <w:spacing w:after="0" w:line="203" w:lineRule="exact"/>
              <w:rPr>
                <w:sz w:val="20"/>
                <w:szCs w:val="20"/>
                <w:color w:val="auto"/>
              </w:rPr>
            </w:pPr>
            <w:r>
              <w:rPr>
                <w:rFonts w:ascii="Arial" w:cs="Arial" w:eastAsia="Arial" w:hAnsi="Arial"/>
                <w:sz w:val="15"/>
                <w:szCs w:val="15"/>
                <w:color w:val="auto"/>
              </w:rPr>
              <w:t>4,540,625</w:t>
            </w:r>
            <w:r>
              <w:rPr>
                <w:rFonts w:ascii="Arial" w:cs="Arial" w:eastAsia="Arial" w:hAnsi="Arial"/>
                <w:sz w:val="19"/>
                <w:szCs w:val="19"/>
                <w:color w:val="auto"/>
                <w:vertAlign w:val="superscript"/>
              </w:rPr>
              <w:t>(7)</w:t>
            </w:r>
          </w:p>
        </w:tc>
        <w:tc>
          <w:tcPr>
            <w:tcW w:w="16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5E5E5"/>
          </w:tcPr>
          <w:p>
            <w:pPr>
              <w:ind w:left="8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E5E5E5"/>
          </w:tcPr>
          <w:p>
            <w:pPr>
              <w:jc w:val="right"/>
              <w:ind w:right="95"/>
              <w:spacing w:after="0" w:line="203" w:lineRule="exact"/>
              <w:rPr>
                <w:sz w:val="20"/>
                <w:szCs w:val="20"/>
                <w:color w:val="auto"/>
              </w:rPr>
            </w:pPr>
            <w:r>
              <w:rPr>
                <w:rFonts w:ascii="Arial" w:cs="Arial" w:eastAsia="Arial" w:hAnsi="Arial"/>
                <w:sz w:val="15"/>
                <w:szCs w:val="15"/>
                <w:color w:val="auto"/>
              </w:rPr>
              <w:t>7.8%</w:t>
            </w:r>
            <w:r>
              <w:rPr>
                <w:rFonts w:ascii="Arial" w:cs="Arial" w:eastAsia="Arial" w:hAnsi="Arial"/>
                <w:sz w:val="19"/>
                <w:szCs w:val="19"/>
                <w:color w:val="auto"/>
                <w:vertAlign w:val="superscript"/>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auto"/>
            </w:tcBorders>
            <w:vMerge w:val="continue"/>
            <w:shd w:val="clear" w:color="auto" w:fill="E5E5E5"/>
          </w:tcPr>
          <w:p>
            <w:pPr>
              <w:spacing w:after="0"/>
              <w:rPr>
                <w:sz w:val="4"/>
                <w:szCs w:val="4"/>
                <w:color w:val="auto"/>
              </w:rPr>
            </w:pPr>
          </w:p>
        </w:tc>
        <w:tc>
          <w:tcPr>
            <w:tcW w:w="4720" w:type="dxa"/>
            <w:vAlign w:val="bottom"/>
            <w:tcBorders>
              <w:bottom w:val="single" w:sz="8" w:color="auto"/>
            </w:tcBorders>
            <w:shd w:val="clear" w:color="auto" w:fill="E5E5E5"/>
          </w:tcPr>
          <w:p>
            <w:pPr>
              <w:spacing w:after="0"/>
              <w:rPr>
                <w:sz w:val="4"/>
                <w:szCs w:val="4"/>
                <w:color w:val="auto"/>
              </w:rPr>
            </w:pPr>
          </w:p>
        </w:tc>
        <w:tc>
          <w:tcPr>
            <w:tcW w:w="640" w:type="dxa"/>
            <w:vAlign w:val="bottom"/>
            <w:tcBorders>
              <w:bottom w:val="single" w:sz="8" w:color="auto"/>
            </w:tcBorders>
            <w:vMerge w:val="continue"/>
            <w:shd w:val="clear" w:color="auto" w:fill="E5E5E5"/>
          </w:tcPr>
          <w:p>
            <w:pPr>
              <w:spacing w:after="0"/>
              <w:rPr>
                <w:sz w:val="4"/>
                <w:szCs w:val="4"/>
                <w:color w:val="auto"/>
              </w:rPr>
            </w:pPr>
          </w:p>
        </w:tc>
        <w:tc>
          <w:tcPr>
            <w:tcW w:w="100" w:type="dxa"/>
            <w:vAlign w:val="bottom"/>
            <w:tcBorders>
              <w:bottom w:val="single" w:sz="8" w:color="auto"/>
            </w:tcBorders>
            <w:vMerge w:val="continue"/>
            <w:shd w:val="clear" w:color="auto" w:fill="E5E5E5"/>
          </w:tcPr>
          <w:p>
            <w:pPr>
              <w:spacing w:after="0"/>
              <w:rPr>
                <w:sz w:val="4"/>
                <w:szCs w:val="4"/>
                <w:color w:val="auto"/>
              </w:rPr>
            </w:pPr>
          </w:p>
        </w:tc>
        <w:tc>
          <w:tcPr>
            <w:tcW w:w="980" w:type="dxa"/>
            <w:vAlign w:val="bottom"/>
            <w:tcBorders>
              <w:bottom w:val="single" w:sz="8" w:color="auto"/>
            </w:tcBorders>
            <w:vMerge w:val="continue"/>
            <w:shd w:val="clear" w:color="auto" w:fill="E5E5E5"/>
          </w:tcPr>
          <w:p>
            <w:pPr>
              <w:spacing w:after="0"/>
              <w:rPr>
                <w:sz w:val="4"/>
                <w:szCs w:val="4"/>
                <w:color w:val="auto"/>
              </w:rPr>
            </w:pPr>
          </w:p>
        </w:tc>
        <w:tc>
          <w:tcPr>
            <w:tcW w:w="780" w:type="dxa"/>
            <w:vAlign w:val="bottom"/>
            <w:tcBorders>
              <w:bottom w:val="single" w:sz="8" w:color="auto"/>
            </w:tcBorders>
            <w:shd w:val="clear" w:color="auto" w:fill="E5E5E5"/>
          </w:tcPr>
          <w:p>
            <w:pPr>
              <w:spacing w:after="0"/>
              <w:rPr>
                <w:sz w:val="4"/>
                <w:szCs w:val="4"/>
                <w:color w:val="auto"/>
              </w:rPr>
            </w:pPr>
          </w:p>
        </w:tc>
        <w:tc>
          <w:tcPr>
            <w:tcW w:w="140" w:type="dxa"/>
            <w:vAlign w:val="bottom"/>
            <w:tcBorders>
              <w:bottom w:val="single" w:sz="8" w:color="auto"/>
            </w:tcBorders>
            <w:shd w:val="clear" w:color="auto" w:fill="E5E5E5"/>
          </w:tcPr>
          <w:p>
            <w:pPr>
              <w:jc w:val="right"/>
              <w:spacing w:after="0" w:line="54" w:lineRule="exact"/>
              <w:rPr>
                <w:sz w:val="20"/>
                <w:szCs w:val="20"/>
                <w:color w:val="auto"/>
              </w:rPr>
            </w:pPr>
            <w:r>
              <w:rPr>
                <w:rFonts w:ascii="Arial" w:cs="Arial" w:eastAsia="Arial" w:hAnsi="Arial"/>
                <w:sz w:val="5"/>
                <w:szCs w:val="5"/>
                <w:color w:val="auto"/>
              </w:rPr>
              <w:t>​ ​</w:t>
            </w:r>
          </w:p>
        </w:tc>
        <w:tc>
          <w:tcPr>
            <w:tcW w:w="160" w:type="dxa"/>
            <w:vAlign w:val="bottom"/>
            <w:tcBorders>
              <w:bottom w:val="single" w:sz="8" w:color="auto"/>
            </w:tcBorders>
            <w:vMerge w:val="continue"/>
            <w:shd w:val="clear" w:color="auto" w:fill="E5E5E5"/>
          </w:tcPr>
          <w:p>
            <w:pPr>
              <w:spacing w:after="0"/>
              <w:rPr>
                <w:sz w:val="4"/>
                <w:szCs w:val="4"/>
                <w:color w:val="auto"/>
              </w:rPr>
            </w:pPr>
          </w:p>
        </w:tc>
        <w:tc>
          <w:tcPr>
            <w:tcW w:w="900" w:type="dxa"/>
            <w:vAlign w:val="bottom"/>
            <w:tcBorders>
              <w:bottom w:val="single" w:sz="8" w:color="auto"/>
            </w:tcBorders>
            <w:shd w:val="clear" w:color="auto" w:fill="E5E5E5"/>
          </w:tcPr>
          <w:p>
            <w:pPr>
              <w:ind w:left="800"/>
              <w:spacing w:after="0" w:line="54" w:lineRule="exact"/>
              <w:rPr>
                <w:sz w:val="20"/>
                <w:szCs w:val="20"/>
                <w:color w:val="auto"/>
              </w:rPr>
            </w:pPr>
            <w:r>
              <w:rPr>
                <w:rFonts w:ascii="Arial" w:cs="Arial" w:eastAsia="Arial" w:hAnsi="Arial"/>
                <w:sz w:val="5"/>
                <w:szCs w:val="5"/>
                <w:color w:val="auto"/>
              </w:rPr>
              <w:t>​</w:t>
            </w:r>
          </w:p>
        </w:tc>
        <w:tc>
          <w:tcPr>
            <w:tcW w:w="260" w:type="dxa"/>
            <w:vAlign w:val="bottom"/>
            <w:tcBorders>
              <w:bottom w:val="single" w:sz="8" w:color="auto"/>
            </w:tcBorders>
            <w:shd w:val="clear" w:color="auto" w:fill="E5E5E5"/>
          </w:tcPr>
          <w:p>
            <w:pPr>
              <w:spacing w:after="0"/>
              <w:rPr>
                <w:sz w:val="4"/>
                <w:szCs w:val="4"/>
                <w:color w:val="auto"/>
              </w:rPr>
            </w:pPr>
          </w:p>
        </w:tc>
        <w:tc>
          <w:tcPr>
            <w:tcW w:w="160" w:type="dxa"/>
            <w:vAlign w:val="bottom"/>
            <w:tcBorders>
              <w:bottom w:val="single" w:sz="8" w:color="auto"/>
            </w:tcBorders>
            <w:shd w:val="clear" w:color="auto" w:fill="E5E5E5"/>
          </w:tcPr>
          <w:p>
            <w:pPr>
              <w:jc w:val="right"/>
              <w:ind w:right="84"/>
              <w:spacing w:after="0" w:line="54" w:lineRule="exact"/>
              <w:rPr>
                <w:sz w:val="20"/>
                <w:szCs w:val="20"/>
                <w:color w:val="auto"/>
              </w:rPr>
            </w:pPr>
            <w:r>
              <w:rPr>
                <w:rFonts w:ascii="Arial" w:cs="Arial" w:eastAsia="Arial" w:hAnsi="Arial"/>
                <w:sz w:val="5"/>
                <w:szCs w:val="5"/>
                <w:color w:val="auto"/>
              </w:rPr>
              <w:t>​</w:t>
            </w:r>
          </w:p>
        </w:tc>
        <w:tc>
          <w:tcPr>
            <w:tcW w:w="260" w:type="dxa"/>
            <w:vAlign w:val="bottom"/>
            <w:tcBorders>
              <w:bottom w:val="single" w:sz="8" w:color="auto"/>
            </w:tcBorders>
            <w:shd w:val="clear" w:color="auto" w:fill="E5E5E5"/>
          </w:tcPr>
          <w:p>
            <w:pPr>
              <w:jc w:val="right"/>
              <w:ind w:right="115"/>
              <w:spacing w:after="0" w:line="54"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20" w:hanging="358"/>
        <w:spacing w:after="0"/>
        <w:tabs>
          <w:tab w:leader="none" w:pos="11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28" w:lineRule="exact"/>
        <w:rPr>
          <w:sz w:val="20"/>
          <w:szCs w:val="20"/>
          <w:color w:val="auto"/>
        </w:rPr>
      </w:pPr>
    </w:p>
    <w:p>
      <w:pPr>
        <w:ind w:left="1120" w:hanging="358"/>
        <w:spacing w:after="0"/>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162,920 DSUs.</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As previously disclosed, Mr. Fadel retired from his position as Chief Executive Officer of the Company effective June 1, 2025.</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Comprised solely of DSUs.</w:t>
      </w:r>
    </w:p>
    <w:p>
      <w:pPr>
        <w:spacing w:after="0" w:line="15" w:lineRule="exact"/>
        <w:rPr>
          <w:rFonts w:ascii="Arial" w:cs="Arial" w:eastAsia="Arial" w:hAnsi="Arial"/>
          <w:sz w:val="14"/>
          <w:szCs w:val="14"/>
          <w:i w:val="1"/>
          <w:iCs w:val="1"/>
          <w:color w:val="auto"/>
        </w:rPr>
      </w:pPr>
    </w:p>
    <w:p>
      <w:pPr>
        <w:jc w:val="both"/>
        <w:ind w:left="1120" w:right="40" w:hanging="358"/>
        <w:spacing w:after="0"/>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The address of Mr. Allred is 13907 Minuteman Dr., 5</w:t>
      </w:r>
      <w:r>
        <w:rPr>
          <w:rFonts w:ascii="Arial" w:cs="Arial" w:eastAsia="Arial" w:hAnsi="Arial"/>
          <w:sz w:val="21"/>
          <w:szCs w:val="21"/>
          <w:i w:val="1"/>
          <w:iCs w:val="1"/>
          <w:color w:val="auto"/>
          <w:vertAlign w:val="superscript"/>
        </w:rPr>
        <w:t>th</w:t>
      </w:r>
      <w:r>
        <w:rPr>
          <w:rFonts w:ascii="Arial" w:cs="Arial" w:eastAsia="Arial" w:hAnsi="Arial"/>
          <w:sz w:val="14"/>
          <w:szCs w:val="14"/>
          <w:i w:val="1"/>
          <w:iCs w:val="1"/>
          <w:color w:val="auto"/>
        </w:rPr>
        <w:t xml:space="preserve"> Floor, Draper, UT 84020. Includes 1,664,190 shares of our common stock owned by Mr. Allred in his personal capacity and 2,437,043 shares owned by Arklow Holdings, LLC of which Mr. Allred is a general member and manager. This information is based solely on information set forth in a Schedule 13G/A filed by Mr. Allred with the SEC on October 22, 2025.</w:t>
      </w:r>
    </w:p>
    <w:p>
      <w:pPr>
        <w:spacing w:after="0" w:line="178" w:lineRule="exact"/>
        <w:rPr>
          <w:rFonts w:ascii="Arial" w:cs="Arial" w:eastAsia="Arial" w:hAnsi="Arial"/>
          <w:sz w:val="14"/>
          <w:szCs w:val="14"/>
          <w:i w:val="1"/>
          <w:iCs w:val="1"/>
          <w:color w:val="auto"/>
        </w:rPr>
      </w:pPr>
    </w:p>
    <w:p>
      <w:pPr>
        <w:jc w:val="both"/>
        <w:ind w:left="1120" w:right="40" w:hanging="358"/>
        <w:spacing w:after="0" w:line="268" w:lineRule="auto"/>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The address of BlackRock, Inc. is 50 Hudson Yards, New York, New York, 10001. BlackRock, Inc. exercises sole voting control over 7,801,641 of these shares and sole investment control over all 7,860,363 shares. This information is based on a Schedule 13G/A filed by BlackRock, Inc. with the SEC on April 28, 2025.</w:t>
      </w:r>
    </w:p>
    <w:p>
      <w:pPr>
        <w:jc w:val="both"/>
        <w:ind w:left="1120" w:right="40" w:hanging="358"/>
        <w:spacing w:after="0" w:line="268" w:lineRule="auto"/>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The address of FMR LLC is 245 Summer Street, Boston, Massachusetts 02210. FMR LLC exercises sole voting control over 5,193,467 of these shares and sole investment control over all 5,197,355.75 shares. This information is based solely on information set forth in Schedule 13G/A filed with the SEC on February 5, 2026 by FMR LLC on behalf of itself and Abigail P. Johnson.</w:t>
      </w:r>
    </w:p>
    <w:p>
      <w:pPr>
        <w:jc w:val="both"/>
        <w:ind w:left="1120" w:right="40" w:hanging="358"/>
        <w:spacing w:after="0" w:line="268" w:lineRule="auto"/>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The Address of IEQ Capital, Inc. is 950 Tower Lane, Suite 1800, Foster City, CA 94404. IEQ Capital exercises sole voting control over 2,765 of these shares and sole investment control over all 4,540,625 shares. This information is based on a Schedule 13G filed by IEQ Capital with the SEC on August 14, 2025.</w:t>
      </w:r>
    </w:p>
    <w:p>
      <w:pPr>
        <w:ind w:left="1120" w:hanging="358"/>
        <w:spacing w:after="0"/>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shares held by Mr. Fadel, who ceased to be an executive officer as of June 1, 2025.</w:t>
      </w:r>
    </w:p>
    <w:p>
      <w:pPr>
        <w:spacing w:after="0" w:line="14" w:lineRule="exact"/>
        <w:rPr>
          <w:rFonts w:ascii="Arial" w:cs="Arial" w:eastAsia="Arial" w:hAnsi="Arial"/>
          <w:sz w:val="14"/>
          <w:szCs w:val="14"/>
          <w:i w:val="1"/>
          <w:iCs w:val="1"/>
          <w:color w:val="auto"/>
        </w:rPr>
      </w:pPr>
    </w:p>
    <w:p>
      <w:pPr>
        <w:jc w:val="both"/>
        <w:ind w:left="1120" w:right="40" w:hanging="358"/>
        <w:spacing w:after="0" w:line="275" w:lineRule="auto"/>
        <w:tabs>
          <w:tab w:leader="none" w:pos="112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According to a Schedule 13G/A filed by The Vanguard Group with the SEC on March 27, 2026, The Vanguard Group no longer exercises voting or investment control over any shares of the Company’s common stock. The Vanguard Group previously exercised shared voting power over 100,892 shares, sole dispositive power over 6,514,131 shares and shared dispositive power over 153,732 shares, in each case according to a Schedule 13G/A filed by The Vanguard Group with the SEC on November 12, 2024.</w:t>
      </w: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4"/>
          <w:szCs w:val="14"/>
          <w:b w:val="1"/>
          <w:bCs w:val="1"/>
          <w:color w:val="auto"/>
        </w:rPr>
        <w:t>70</w:t>
        <w:tab/>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300"/>
        <w:spacing w:after="0"/>
        <w:rPr>
          <w:sz w:val="20"/>
          <w:szCs w:val="20"/>
          <w:color w:val="auto"/>
        </w:rPr>
      </w:pPr>
      <w:r>
        <w:rPr>
          <w:rFonts w:ascii="Arial" w:cs="Arial" w:eastAsia="Arial" w:hAnsi="Arial"/>
          <w:sz w:val="15"/>
          <w:szCs w:val="15"/>
          <w:b w:val="1"/>
          <w:bCs w:val="1"/>
          <w:color w:val="auto"/>
        </w:rPr>
        <w:t>SECURITY OWNERSHIP OF CERTAIN​</w:t>
      </w:r>
    </w:p>
    <w:p>
      <w:pPr>
        <w:spacing w:after="0" w:line="33"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BENEFICIAL OWNERS AND MANAGEMENT​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jc w:val="both"/>
        <w:ind w:left="760" w:right="40"/>
        <w:spacing w:after="0" w:line="264" w:lineRule="auto"/>
        <w:rPr>
          <w:sz w:val="20"/>
          <w:szCs w:val="20"/>
          <w:color w:val="auto"/>
        </w:rPr>
      </w:pPr>
      <w:r>
        <w:rPr>
          <w:rFonts w:ascii="Arial" w:cs="Arial" w:eastAsia="Arial" w:hAnsi="Arial"/>
          <w:sz w:val="16"/>
          <w:szCs w:val="16"/>
          <w:color w:val="auto"/>
        </w:rPr>
        <w:t>For each of the named executive officers’ ownership as reported in the table above, the following table sets forth: (1) common stock underlying restricted stock units that may vest within 60 days of April 7, 2026, (2) common stock underlying performance stock units that may vest within 60 days of April 7, 2026, assuming 100% of the target performance is achieved and (3) shares issuable upon the exercise of outstanding stock options that are exercisable within 60 days of April 7, 2026.</w:t>
      </w:r>
    </w:p>
    <w:p>
      <w:pPr>
        <w:spacing w:after="0" w:line="182"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Arial" w:cs="Arial" w:eastAsia="Arial" w:hAnsi="Arial"/>
                <w:sz w:val="15"/>
                <w:szCs w:val="15"/>
                <w:b w:val="1"/>
                <w:bCs w:val="1"/>
                <w:color w:val="auto"/>
              </w:rPr>
              <w:t>Common Stock Underlying</w:t>
            </w:r>
          </w:p>
        </w:tc>
        <w:tc>
          <w:tcPr>
            <w:tcW w:w="16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Arial" w:cs="Arial" w:eastAsia="Arial" w:hAnsi="Arial"/>
                <w:sz w:val="15"/>
                <w:szCs w:val="15"/>
                <w:b w:val="1"/>
                <w:bCs w:val="1"/>
                <w:color w:val="auto"/>
              </w:rPr>
              <w:t>Common Stock Underlying</w:t>
            </w:r>
          </w:p>
        </w:tc>
        <w:tc>
          <w:tcPr>
            <w:tcW w:w="16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 Issuable upon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Name</w:t>
            </w:r>
          </w:p>
        </w:tc>
        <w:tc>
          <w:tcPr>
            <w:tcW w:w="960" w:type="dxa"/>
            <w:vAlign w:val="bottom"/>
            <w:vMerge w:val="restart"/>
          </w:tcPr>
          <w:p>
            <w:pPr>
              <w:jc w:val="center"/>
              <w:ind w:left="724"/>
              <w:spacing w:after="0"/>
              <w:rPr>
                <w:sz w:val="20"/>
                <w:szCs w:val="20"/>
                <w:color w:val="auto"/>
              </w:rPr>
            </w:pPr>
            <w:r>
              <w:rPr>
                <w:rFonts w:ascii="Arial" w:cs="Arial" w:eastAsia="Arial" w:hAnsi="Arial"/>
                <w:sz w:val="15"/>
                <w:szCs w:val="15"/>
                <w:b w:val="1"/>
                <w:bCs w:val="1"/>
                <w:color w:val="auto"/>
              </w:rPr>
              <w:t>​</w:t>
            </w:r>
          </w:p>
        </w:tc>
        <w:tc>
          <w:tcPr>
            <w:tcW w:w="2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1840" w:type="dxa"/>
            <w:vAlign w:val="bottom"/>
          </w:tcPr>
          <w:p>
            <w:pPr>
              <w:jc w:val="right"/>
              <w:spacing w:after="0" w:line="154" w:lineRule="exact"/>
              <w:rPr>
                <w:sz w:val="20"/>
                <w:szCs w:val="20"/>
                <w:color w:val="auto"/>
              </w:rPr>
            </w:pPr>
            <w:r>
              <w:rPr>
                <w:rFonts w:ascii="Arial" w:cs="Arial" w:eastAsia="Arial" w:hAnsi="Arial"/>
                <w:sz w:val="15"/>
                <w:szCs w:val="15"/>
                <w:b w:val="1"/>
                <w:bCs w:val="1"/>
                <w:color w:val="auto"/>
              </w:rPr>
              <w:t>Restricted Stock Units</w:t>
            </w:r>
          </w:p>
        </w:tc>
        <w:tc>
          <w:tcPr>
            <w:tcW w:w="1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w:t>
            </w:r>
          </w:p>
        </w:tc>
        <w:tc>
          <w:tcPr>
            <w:tcW w:w="1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1920" w:type="dxa"/>
            <w:vAlign w:val="bottom"/>
          </w:tcPr>
          <w:p>
            <w:pPr>
              <w:jc w:val="right"/>
              <w:spacing w:after="0" w:line="154" w:lineRule="exact"/>
              <w:rPr>
                <w:sz w:val="20"/>
                <w:szCs w:val="20"/>
                <w:color w:val="auto"/>
              </w:rPr>
            </w:pPr>
            <w:r>
              <w:rPr>
                <w:rFonts w:ascii="Arial" w:cs="Arial" w:eastAsia="Arial" w:hAnsi="Arial"/>
                <w:sz w:val="15"/>
                <w:szCs w:val="15"/>
                <w:b w:val="1"/>
                <w:bCs w:val="1"/>
                <w:color w:val="auto"/>
              </w:rPr>
              <w:t>Performance Stock Units</w:t>
            </w:r>
          </w:p>
        </w:tc>
        <w:tc>
          <w:tcPr>
            <w:tcW w:w="1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w:t>
            </w:r>
          </w:p>
        </w:tc>
        <w:tc>
          <w:tcPr>
            <w:tcW w:w="1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Exercise of Options</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68"/>
        </w:trPr>
        <w:tc>
          <w:tcPr>
            <w:tcW w:w="2120" w:type="dxa"/>
            <w:vAlign w:val="bottom"/>
            <w:tcBorders>
              <w:bottom w:val="single" w:sz="8" w:color="auto"/>
            </w:tcBorders>
          </w:tcPr>
          <w:p>
            <w:pPr>
              <w:ind w:left="80"/>
              <w:spacing w:after="0" w:line="68" w:lineRule="exact"/>
              <w:rPr>
                <w:sz w:val="20"/>
                <w:szCs w:val="20"/>
                <w:color w:val="auto"/>
              </w:rPr>
            </w:pPr>
            <w:r>
              <w:rPr>
                <w:rFonts w:ascii="Arial" w:cs="Arial" w:eastAsia="Arial" w:hAnsi="Arial"/>
                <w:sz w:val="7"/>
                <w:szCs w:val="7"/>
                <w:b w:val="1"/>
                <w:bCs w:val="1"/>
                <w:color w:val="auto"/>
              </w:rPr>
              <w:t>​</w:t>
            </w:r>
          </w:p>
        </w:tc>
        <w:tc>
          <w:tcPr>
            <w:tcW w:w="96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E5E5E5"/>
          </w:tcPr>
          <w:p>
            <w:pPr>
              <w:ind w:left="40"/>
              <w:spacing w:after="0"/>
              <w:rPr>
                <w:sz w:val="20"/>
                <w:szCs w:val="20"/>
                <w:color w:val="auto"/>
              </w:rPr>
            </w:pPr>
            <w:r>
              <w:rPr>
                <w:rFonts w:ascii="Arial" w:cs="Arial" w:eastAsia="Arial" w:hAnsi="Arial"/>
                <w:sz w:val="15"/>
                <w:szCs w:val="15"/>
                <w:color w:val="auto"/>
              </w:rPr>
              <w:t>​Mitchell Fadel</w:t>
            </w:r>
          </w:p>
        </w:tc>
        <w:tc>
          <w:tcPr>
            <w:tcW w:w="960" w:type="dxa"/>
            <w:vAlign w:val="bottom"/>
            <w:shd w:val="clear" w:color="auto" w:fill="E5E5E5"/>
          </w:tcPr>
          <w:p>
            <w:pPr>
              <w:jc w:val="center"/>
              <w:ind w:left="744"/>
              <w:spacing w:after="0"/>
              <w:rPr>
                <w:sz w:val="20"/>
                <w:szCs w:val="20"/>
                <w:color w:val="auto"/>
              </w:rPr>
            </w:pPr>
            <w:r>
              <w:rPr>
                <w:rFonts w:ascii="Arial" w:cs="Arial" w:eastAsia="Arial" w:hAnsi="Arial"/>
                <w:sz w:val="15"/>
                <w:szCs w:val="15"/>
                <w:color w:val="auto"/>
              </w:rPr>
              <w:t>​ ​</w:t>
            </w:r>
          </w:p>
        </w:tc>
        <w:tc>
          <w:tcPr>
            <w:tcW w:w="200" w:type="dxa"/>
            <w:vAlign w:val="bottom"/>
            <w:shd w:val="clear" w:color="auto" w:fill="E5E5E5"/>
          </w:tcPr>
          <w:p>
            <w:pPr>
              <w:spacing w:after="0"/>
              <w:rPr>
                <w:sz w:val="19"/>
                <w:szCs w:val="19"/>
                <w:color w:val="auto"/>
              </w:rPr>
            </w:pPr>
          </w:p>
        </w:tc>
        <w:tc>
          <w:tcPr>
            <w:tcW w:w="2000" w:type="dxa"/>
            <w:vAlign w:val="bottom"/>
            <w:gridSpan w:val="2"/>
            <w:shd w:val="clear" w:color="auto" w:fill="E5E5E5"/>
          </w:tcPr>
          <w:p>
            <w:pPr>
              <w:ind w:left="1600"/>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9"/>
                <w:szCs w:val="19"/>
                <w:color w:val="auto"/>
              </w:rPr>
            </w:pPr>
          </w:p>
        </w:tc>
        <w:tc>
          <w:tcPr>
            <w:tcW w:w="2080" w:type="dxa"/>
            <w:vAlign w:val="bottom"/>
            <w:gridSpan w:val="2"/>
            <w:shd w:val="clear" w:color="auto" w:fill="E5E5E5"/>
          </w:tcPr>
          <w:p>
            <w:pPr>
              <w:ind w:left="1680"/>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9"/>
                <w:szCs w:val="19"/>
                <w:color w:val="auto"/>
              </w:rPr>
            </w:pPr>
          </w:p>
        </w:tc>
        <w:tc>
          <w:tcPr>
            <w:tcW w:w="1600" w:type="dxa"/>
            <w:vAlign w:val="bottom"/>
            <w:shd w:val="clear" w:color="auto" w:fill="E5E5E5"/>
          </w:tcPr>
          <w:p>
            <w:pPr>
              <w:ind w:left="1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5"/>
                <w:szCs w:val="15"/>
                <w:color w:val="auto"/>
              </w:rPr>
              <w:t>​Fahmi Karam</w:t>
            </w:r>
          </w:p>
        </w:tc>
        <w:tc>
          <w:tcPr>
            <w:tcW w:w="960" w:type="dxa"/>
            <w:vAlign w:val="bottom"/>
          </w:tcPr>
          <w:p>
            <w:pPr>
              <w:jc w:val="center"/>
              <w:ind w:left="744"/>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9"/>
                <w:szCs w:val="19"/>
                <w:color w:val="auto"/>
              </w:rPr>
            </w:pPr>
          </w:p>
        </w:tc>
        <w:tc>
          <w:tcPr>
            <w:tcW w:w="2000" w:type="dxa"/>
            <w:vAlign w:val="bottom"/>
            <w:gridSpan w:val="2"/>
          </w:tcPr>
          <w:p>
            <w:pPr>
              <w:ind w:left="1600"/>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9"/>
                <w:szCs w:val="19"/>
                <w:color w:val="auto"/>
              </w:rPr>
            </w:pPr>
          </w:p>
        </w:tc>
        <w:tc>
          <w:tcPr>
            <w:tcW w:w="2080" w:type="dxa"/>
            <w:vAlign w:val="bottom"/>
            <w:gridSpan w:val="2"/>
          </w:tcPr>
          <w:p>
            <w:pPr>
              <w:ind w:left="1680"/>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9"/>
                <w:szCs w:val="19"/>
                <w:color w:val="auto"/>
              </w:rPr>
            </w:pPr>
          </w:p>
        </w:tc>
        <w:tc>
          <w:tcPr>
            <w:tcW w:w="1600" w:type="dxa"/>
            <w:vAlign w:val="bottom"/>
          </w:tcPr>
          <w:p>
            <w:pPr>
              <w:ind w:left="1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E5E5E5"/>
          </w:tcPr>
          <w:p>
            <w:pPr>
              <w:ind w:left="40"/>
              <w:spacing w:after="0"/>
              <w:rPr>
                <w:sz w:val="20"/>
                <w:szCs w:val="20"/>
                <w:color w:val="auto"/>
              </w:rPr>
            </w:pPr>
            <w:r>
              <w:rPr>
                <w:rFonts w:ascii="Arial" w:cs="Arial" w:eastAsia="Arial" w:hAnsi="Arial"/>
                <w:sz w:val="15"/>
                <w:szCs w:val="15"/>
                <w:color w:val="auto"/>
              </w:rPr>
              <w:t>​Hal Khouri</w:t>
            </w:r>
          </w:p>
        </w:tc>
        <w:tc>
          <w:tcPr>
            <w:tcW w:w="960" w:type="dxa"/>
            <w:vAlign w:val="bottom"/>
            <w:shd w:val="clear" w:color="auto" w:fill="E5E5E5"/>
          </w:tcPr>
          <w:p>
            <w:pPr>
              <w:jc w:val="center"/>
              <w:ind w:left="744"/>
              <w:spacing w:after="0"/>
              <w:rPr>
                <w:sz w:val="20"/>
                <w:szCs w:val="20"/>
                <w:color w:val="auto"/>
              </w:rPr>
            </w:pPr>
            <w:r>
              <w:rPr>
                <w:rFonts w:ascii="Arial" w:cs="Arial" w:eastAsia="Arial" w:hAnsi="Arial"/>
                <w:sz w:val="15"/>
                <w:szCs w:val="15"/>
                <w:color w:val="auto"/>
              </w:rPr>
              <w:t>​ ​</w:t>
            </w:r>
          </w:p>
        </w:tc>
        <w:tc>
          <w:tcPr>
            <w:tcW w:w="200" w:type="dxa"/>
            <w:vAlign w:val="bottom"/>
            <w:shd w:val="clear" w:color="auto" w:fill="E5E5E5"/>
          </w:tcPr>
          <w:p>
            <w:pPr>
              <w:spacing w:after="0"/>
              <w:rPr>
                <w:sz w:val="19"/>
                <w:szCs w:val="19"/>
                <w:color w:val="auto"/>
              </w:rPr>
            </w:pPr>
          </w:p>
        </w:tc>
        <w:tc>
          <w:tcPr>
            <w:tcW w:w="2000" w:type="dxa"/>
            <w:vAlign w:val="bottom"/>
            <w:gridSpan w:val="2"/>
            <w:shd w:val="clear" w:color="auto" w:fill="E5E5E5"/>
          </w:tcPr>
          <w:p>
            <w:pPr>
              <w:ind w:left="1600"/>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9"/>
                <w:szCs w:val="19"/>
                <w:color w:val="auto"/>
              </w:rPr>
            </w:pPr>
          </w:p>
        </w:tc>
        <w:tc>
          <w:tcPr>
            <w:tcW w:w="2080" w:type="dxa"/>
            <w:vAlign w:val="bottom"/>
            <w:gridSpan w:val="2"/>
            <w:shd w:val="clear" w:color="auto" w:fill="E5E5E5"/>
          </w:tcPr>
          <w:p>
            <w:pPr>
              <w:ind w:left="1680"/>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9"/>
                <w:szCs w:val="19"/>
                <w:color w:val="auto"/>
              </w:rPr>
            </w:pPr>
          </w:p>
        </w:tc>
        <w:tc>
          <w:tcPr>
            <w:tcW w:w="1600" w:type="dxa"/>
            <w:vAlign w:val="bottom"/>
            <w:shd w:val="clear" w:color="auto" w:fill="E5E5E5"/>
          </w:tcPr>
          <w:p>
            <w:pPr>
              <w:ind w:left="1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5"/>
                <w:szCs w:val="15"/>
                <w:color w:val="auto"/>
              </w:rPr>
              <w:t>​Tyler Montrone</w:t>
            </w:r>
          </w:p>
        </w:tc>
        <w:tc>
          <w:tcPr>
            <w:tcW w:w="960" w:type="dxa"/>
            <w:vAlign w:val="bottom"/>
          </w:tcPr>
          <w:p>
            <w:pPr>
              <w:jc w:val="center"/>
              <w:ind w:left="744"/>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9"/>
                <w:szCs w:val="19"/>
                <w:color w:val="auto"/>
              </w:rPr>
            </w:pPr>
          </w:p>
        </w:tc>
        <w:tc>
          <w:tcPr>
            <w:tcW w:w="2000" w:type="dxa"/>
            <w:vAlign w:val="bottom"/>
            <w:gridSpan w:val="2"/>
          </w:tcPr>
          <w:p>
            <w:pPr>
              <w:ind w:left="1600"/>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9"/>
                <w:szCs w:val="19"/>
                <w:color w:val="auto"/>
              </w:rPr>
            </w:pPr>
          </w:p>
        </w:tc>
        <w:tc>
          <w:tcPr>
            <w:tcW w:w="2080" w:type="dxa"/>
            <w:vAlign w:val="bottom"/>
            <w:gridSpan w:val="2"/>
          </w:tcPr>
          <w:p>
            <w:pPr>
              <w:ind w:left="1680"/>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9"/>
                <w:szCs w:val="19"/>
                <w:color w:val="auto"/>
              </w:rPr>
            </w:pPr>
          </w:p>
        </w:tc>
        <w:tc>
          <w:tcPr>
            <w:tcW w:w="1600" w:type="dxa"/>
            <w:vAlign w:val="bottom"/>
          </w:tcPr>
          <w:p>
            <w:pPr>
              <w:ind w:left="1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E5E5E5"/>
          </w:tcPr>
          <w:p>
            <w:pPr>
              <w:ind w:left="40"/>
              <w:spacing w:after="0"/>
              <w:rPr>
                <w:sz w:val="20"/>
                <w:szCs w:val="20"/>
                <w:color w:val="auto"/>
              </w:rPr>
            </w:pPr>
            <w:r>
              <w:rPr>
                <w:rFonts w:ascii="Arial" w:cs="Arial" w:eastAsia="Arial" w:hAnsi="Arial"/>
                <w:sz w:val="15"/>
                <w:szCs w:val="15"/>
                <w:color w:val="auto"/>
              </w:rPr>
              <w:t>​Anthony Blasquez</w:t>
            </w:r>
          </w:p>
        </w:tc>
        <w:tc>
          <w:tcPr>
            <w:tcW w:w="960" w:type="dxa"/>
            <w:vAlign w:val="bottom"/>
            <w:shd w:val="clear" w:color="auto" w:fill="E5E5E5"/>
          </w:tcPr>
          <w:p>
            <w:pPr>
              <w:jc w:val="center"/>
              <w:ind w:left="744"/>
              <w:spacing w:after="0"/>
              <w:rPr>
                <w:sz w:val="20"/>
                <w:szCs w:val="20"/>
                <w:color w:val="auto"/>
              </w:rPr>
            </w:pPr>
            <w:r>
              <w:rPr>
                <w:rFonts w:ascii="Arial" w:cs="Arial" w:eastAsia="Arial" w:hAnsi="Arial"/>
                <w:sz w:val="15"/>
                <w:szCs w:val="15"/>
                <w:color w:val="auto"/>
              </w:rPr>
              <w:t>​ ​</w:t>
            </w:r>
          </w:p>
        </w:tc>
        <w:tc>
          <w:tcPr>
            <w:tcW w:w="200" w:type="dxa"/>
            <w:vAlign w:val="bottom"/>
            <w:shd w:val="clear" w:color="auto" w:fill="E5E5E5"/>
          </w:tcPr>
          <w:p>
            <w:pPr>
              <w:spacing w:after="0"/>
              <w:rPr>
                <w:sz w:val="19"/>
                <w:szCs w:val="19"/>
                <w:color w:val="auto"/>
              </w:rPr>
            </w:pPr>
          </w:p>
        </w:tc>
        <w:tc>
          <w:tcPr>
            <w:tcW w:w="2000" w:type="dxa"/>
            <w:vAlign w:val="bottom"/>
            <w:gridSpan w:val="2"/>
            <w:shd w:val="clear" w:color="auto" w:fill="E5E5E5"/>
          </w:tcPr>
          <w:p>
            <w:pPr>
              <w:ind w:left="1600"/>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9"/>
                <w:szCs w:val="19"/>
                <w:color w:val="auto"/>
              </w:rPr>
            </w:pPr>
          </w:p>
        </w:tc>
        <w:tc>
          <w:tcPr>
            <w:tcW w:w="2080" w:type="dxa"/>
            <w:vAlign w:val="bottom"/>
            <w:gridSpan w:val="2"/>
            <w:shd w:val="clear" w:color="auto" w:fill="E5E5E5"/>
          </w:tcPr>
          <w:p>
            <w:pPr>
              <w:ind w:left="1680"/>
              <w:spacing w:after="0"/>
              <w:rPr>
                <w:sz w:val="20"/>
                <w:szCs w:val="20"/>
                <w:color w:val="auto"/>
              </w:rPr>
            </w:pPr>
            <w:r>
              <w:rPr>
                <w:rFonts w:ascii="Arial" w:cs="Arial" w:eastAsia="Arial" w:hAnsi="Arial"/>
                <w:sz w:val="15"/>
                <w:szCs w:val="15"/>
                <w:color w:val="auto"/>
              </w:rPr>
              <w:t>​​—​​ ​</w:t>
            </w:r>
          </w:p>
        </w:tc>
        <w:tc>
          <w:tcPr>
            <w:tcW w:w="120" w:type="dxa"/>
            <w:vAlign w:val="bottom"/>
            <w:shd w:val="clear" w:color="auto" w:fill="E5E5E5"/>
          </w:tcPr>
          <w:p>
            <w:pPr>
              <w:spacing w:after="0"/>
              <w:rPr>
                <w:sz w:val="19"/>
                <w:szCs w:val="19"/>
                <w:color w:val="auto"/>
              </w:rPr>
            </w:pPr>
          </w:p>
        </w:tc>
        <w:tc>
          <w:tcPr>
            <w:tcW w:w="1600" w:type="dxa"/>
            <w:vAlign w:val="bottom"/>
            <w:shd w:val="clear" w:color="auto" w:fill="E5E5E5"/>
          </w:tcPr>
          <w:p>
            <w:pPr>
              <w:ind w:left="1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​Bryan Pechersky</w:t>
            </w:r>
          </w:p>
        </w:tc>
        <w:tc>
          <w:tcPr>
            <w:tcW w:w="960" w:type="dxa"/>
            <w:vAlign w:val="bottom"/>
            <w:tcBorders>
              <w:bottom w:val="single" w:sz="8" w:color="auto"/>
            </w:tcBorders>
          </w:tcPr>
          <w:p>
            <w:pPr>
              <w:jc w:val="center"/>
              <w:ind w:left="744"/>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2"/>
          </w:tcPr>
          <w:p>
            <w:pPr>
              <w:ind w:left="1600"/>
              <w:spacing w:after="0"/>
              <w:rPr>
                <w:sz w:val="20"/>
                <w:szCs w:val="20"/>
                <w:color w:val="auto"/>
              </w:rPr>
            </w:pPr>
            <w:r>
              <w:rPr>
                <w:rFonts w:ascii="Arial" w:cs="Arial" w:eastAsia="Arial" w:hAnsi="Arial"/>
                <w:sz w:val="15"/>
                <w:szCs w:val="15"/>
                <w:color w:val="auto"/>
              </w:rPr>
              <w:t>​​—​​ ​</w:t>
            </w: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ind w:left="1680"/>
              <w:spacing w:after="0"/>
              <w:rPr>
                <w:sz w:val="20"/>
                <w:szCs w:val="20"/>
                <w:color w:val="auto"/>
              </w:rPr>
            </w:pPr>
            <w:r>
              <w:rPr>
                <w:rFonts w:ascii="Arial" w:cs="Arial" w:eastAsia="Arial" w:hAnsi="Arial"/>
                <w:sz w:val="15"/>
                <w:szCs w:val="15"/>
                <w:color w:val="auto"/>
              </w:rPr>
              <w:t>​​—​​ ​</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ind w:left="1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0"/>
        <w:spacing w:after="0"/>
        <w:rPr>
          <w:sz w:val="20"/>
          <w:szCs w:val="20"/>
          <w:color w:val="auto"/>
        </w:rPr>
      </w:pPr>
      <w:r>
        <w:rPr>
          <w:rFonts w:ascii="Arial" w:cs="Arial" w:eastAsia="Arial" w:hAnsi="Arial"/>
          <w:sz w:val="40"/>
          <w:szCs w:val="40"/>
          <w:b w:val="1"/>
          <w:bCs w:val="1"/>
          <w:color w:val="auto"/>
        </w:rPr>
        <w:t>OTHER INFORMATION</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52" w:lineRule="auto"/>
        <w:rPr>
          <w:sz w:val="20"/>
          <w:szCs w:val="20"/>
          <w:color w:val="auto"/>
        </w:rPr>
      </w:pPr>
      <w:r>
        <w:rPr>
          <w:rFonts w:ascii="Arial" w:cs="Arial" w:eastAsia="Arial" w:hAnsi="Arial"/>
          <w:sz w:val="16"/>
          <w:szCs w:val="16"/>
          <w:color w:val="auto"/>
        </w:rPr>
        <w:t>Section 16(a) of the Securities Exchange Act of 1934 and related rules of the SEC require our directors and Section 16 officers, and persons who own more than 10% of a registered class of our equity securities, to file initial reports of ownership and reports of changes in ownership with the SEC. These persons are required by SEC regulations to furnish us with copies of all Section 16(a) reports that they file. Based on a review of reports filed by those persons, and upon representations from those persons, we believe that all SEC stock ownership reports required to be filed by those reporting persons during and with respect to 2025 were timely made except for one Form 3 filing in connection with Ms. Wooters’ appointment as a Section 16 officer of the Company. Such late filing was the result of administrative matters impacting the functioning of Ms. Wooters’ EDGAR filing codes. Ms. Wooters’ Form 3 was filed on October 7, 2025, promptly after receipt of the EDGAR codes.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Insider Trading Arrangements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color w:val="auto"/>
        </w:rPr>
        <w:t>We have adopted an insider trading policy governing the purchase, sale and/or other disposition of our securities by the Company’s directors, officers and employees, as well as the Company itself, that we believe is reasonably designed to promote compliance with insider trading laws, rules and regulations and Nasdaq Global Select Market listing standards. A copy of our insider trading policy is filed as Exhibit 19.1 to the 2025 Form 10-K.</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52" w:lineRule="auto"/>
        <w:rPr>
          <w:sz w:val="20"/>
          <w:szCs w:val="20"/>
          <w:color w:val="auto"/>
        </w:rPr>
      </w:pPr>
      <w:r>
        <w:rPr>
          <w:rFonts w:ascii="Arial" w:cs="Arial" w:eastAsia="Arial" w:hAnsi="Arial"/>
          <w:sz w:val="16"/>
          <w:szCs w:val="16"/>
          <w:color w:val="auto"/>
        </w:rPr>
        <w:t xml:space="preserve">The Company has filed with the SEC an Annual Report on Form 10-K for the year ended December 31, 2025 (which is not a part of the Company’s proxy soliciting materials), a copy of which is available on our website at </w:t>
      </w:r>
      <w:r>
        <w:rPr>
          <w:rFonts w:ascii="Arial" w:cs="Arial" w:eastAsia="Arial" w:hAnsi="Arial"/>
          <w:sz w:val="16"/>
          <w:szCs w:val="16"/>
          <w:i w:val="1"/>
          <w:iCs w:val="1"/>
          <w:color w:val="auto"/>
        </w:rPr>
        <w:t>https://investor.upbound.com/financials-filings/sec-filings</w:t>
      </w:r>
      <w:r>
        <w:rPr>
          <w:rFonts w:ascii="Arial" w:cs="Arial" w:eastAsia="Arial" w:hAnsi="Arial"/>
          <w:sz w:val="16"/>
          <w:szCs w:val="16"/>
          <w:color w:val="auto"/>
        </w:rPr>
        <w:t>. The Company will provide without charge a copy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the year ended December 31, 2025 upon the written request of a stockholder to the Corporate Secretary, Upbound Group, Inc., 5501 Headquarters Drive, Plano, Texas 75024. References in this proxy statement to our website address are provided only as a convenience and do not constitute, and should not be viewed as, an incorporation by reference of the information contained on, or available through, the website. Therefore, such information should not be considered part of this proxy statement.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3" w:lineRule="exact"/>
        <w:rPr>
          <w:sz w:val="20"/>
          <w:szCs w:val="20"/>
          <w:color w:val="auto"/>
        </w:rPr>
      </w:pPr>
    </w:p>
    <w:p>
      <w:pPr>
        <w:jc w:val="both"/>
        <w:ind w:left="760"/>
        <w:spacing w:after="0" w:line="250" w:lineRule="auto"/>
        <w:rPr>
          <w:sz w:val="20"/>
          <w:szCs w:val="20"/>
          <w:color w:val="auto"/>
        </w:rPr>
      </w:pPr>
      <w:r>
        <w:rPr>
          <w:rFonts w:ascii="Arial" w:cs="Arial" w:eastAsia="Arial" w:hAnsi="Arial"/>
          <w:sz w:val="16"/>
          <w:szCs w:val="16"/>
          <w:color w:val="auto"/>
        </w:rPr>
        <w:t>The SEC has adopted rules that permit companies and intermediaries (for example, brokers) to satisfy the delivery requirements for proxy statements, annual reports and Notices with respect to two or more stockholders sharing the same address by delivering a single copy of any such proxy statement, annual report or Notice addressed to those stockholders. This process, which is commonly referred to as “householding,” potentially provides extra convenience for stockholders and cost savings for companies. If you are an affected stockholder and no longer wish to participate in householding, or if you are receiving multiple copies of the proxy statement or the Notice and wish to receive only one, please notify your broker if your shares are held in a brokerage account, or the Company if you are the record holder of your shares. Such a notification to the Company may be submitted to the Upbound Legal Department in writing at Attn: Legal Department, Upbound Group, Inc., 5501 Headquarters Drive, Plano, Texas 75024, or by calling 972-801-1100. Additionally, we will deliver promptly to any affected stockholder, upon his or her written request made to the address in the preceding sentence, an additional copy of the proxy statement, annual report and/or Notice.</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Submission of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21590</wp:posOffset>
            </wp:positionV>
            <wp:extent cx="58375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color w:val="auto"/>
        </w:rPr>
        <w:t>From time to time, stockholders may seek to nominate directors or present proposals for inclusion in the proxy statement and form of proxy for consideration at an annual stockholders meeting. To be included in the proxy statement or considered at an annual or any special meeting, you must timely submit nominations of directors or proposals, in addition to meeting other legal requirements.</w:t>
      </w:r>
    </w:p>
    <w:p>
      <w:pPr>
        <w:spacing w:after="0" w:line="110"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color w:val="auto"/>
        </w:rPr>
        <w:t>We must receive proposals pursuant to Rule 14a-8 for possible inclusion in the Company’s proxy statement related to the 2027 annual stockholders meeting no later than December 23, 2026, and such proposals must otherwise comply with Rule 14a-8 under the Exchange Act.</w:t>
      </w:r>
    </w:p>
    <w:p>
      <w:pPr>
        <w:spacing w:after="0" w:line="104"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Pursuant to our bylaws, subject to certain limited exceptions, other proposals for possible consideration at the 2027 annual stockholders meeting, including proposals for the nomination of one or more directors, must be received in writing by us no</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OTHER INFORMATION​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760" w:right="40"/>
        <w:spacing w:after="0" w:line="275" w:lineRule="auto"/>
        <w:rPr>
          <w:sz w:val="20"/>
          <w:szCs w:val="20"/>
          <w:color w:val="auto"/>
        </w:rPr>
      </w:pPr>
      <w:r>
        <w:rPr>
          <w:rFonts w:ascii="Arial" w:cs="Arial" w:eastAsia="Arial" w:hAnsi="Arial"/>
          <w:sz w:val="16"/>
          <w:szCs w:val="16"/>
          <w:color w:val="auto"/>
        </w:rPr>
        <w:t>earlier than the close of business on February 3, 2027, and no later than the close of business on March 5, 2027. Any such proposal must be in proper form as specified in our bylaws, must be submitted by a stockholder of the Company meeting the requirements set forth in our bylaws and must comply with the rules of the SEC concerning stockholder proposals.</w:t>
      </w:r>
    </w:p>
    <w:p>
      <w:pPr>
        <w:spacing w:after="0" w:line="97" w:lineRule="exact"/>
        <w:rPr>
          <w:sz w:val="20"/>
          <w:szCs w:val="20"/>
          <w:color w:val="auto"/>
        </w:rPr>
      </w:pPr>
    </w:p>
    <w:p>
      <w:pPr>
        <w:jc w:val="both"/>
        <w:ind w:left="760" w:right="40"/>
        <w:spacing w:after="0" w:line="304" w:lineRule="auto"/>
        <w:rPr>
          <w:sz w:val="20"/>
          <w:szCs w:val="20"/>
          <w:color w:val="auto"/>
        </w:rPr>
      </w:pPr>
      <w:r>
        <w:rPr>
          <w:rFonts w:ascii="Arial" w:cs="Arial" w:eastAsia="Arial" w:hAnsi="Arial"/>
          <w:sz w:val="16"/>
          <w:szCs w:val="16"/>
          <w:color w:val="auto"/>
        </w:rPr>
        <w:t>Direct any proposals, as well as related questions, to the Corporate Secretary, Upbound Group, Inc., 5501 Headquarters Drive, Plano, Texas 75024.</w:t>
      </w:r>
    </w:p>
    <w:p>
      <w:pPr>
        <w:spacing w:after="0" w:line="74" w:lineRule="exact"/>
        <w:rPr>
          <w:sz w:val="20"/>
          <w:szCs w:val="20"/>
          <w:color w:val="auto"/>
        </w:rPr>
      </w:pPr>
    </w:p>
    <w:p>
      <w:pPr>
        <w:jc w:val="both"/>
        <w:ind w:left="760" w:right="40"/>
        <w:spacing w:after="0" w:line="271" w:lineRule="auto"/>
        <w:rPr>
          <w:sz w:val="20"/>
          <w:szCs w:val="20"/>
          <w:color w:val="auto"/>
        </w:rPr>
      </w:pPr>
      <w:r>
        <w:rPr>
          <w:rFonts w:ascii="Arial" w:cs="Arial" w:eastAsia="Arial" w:hAnsi="Arial"/>
          <w:sz w:val="16"/>
          <w:szCs w:val="16"/>
          <w:color w:val="auto"/>
        </w:rPr>
        <w:t>To comply with the SEC’s universal proxy rules, stockholders who intend to solicit proxies in support of director nominees other than the Company’s nominees must provide notice that sets forth the information required by Rule 14a-19 under the Exchange Act no later than April 5, 2027. Please note that the advance notice requirement under Rule 14a-19 does not override or supersede the longer advance notice requirements under our bylaws.</w:t>
      </w:r>
    </w:p>
    <w:p>
      <w:pPr>
        <w:spacing w:after="0" w:line="114" w:lineRule="exact"/>
        <w:rPr>
          <w:sz w:val="20"/>
          <w:szCs w:val="20"/>
          <w:color w:val="auto"/>
        </w:rPr>
      </w:pPr>
    </w:p>
    <w:p>
      <w:pPr>
        <w:jc w:val="both"/>
        <w:ind w:left="760" w:right="40"/>
        <w:spacing w:after="0" w:line="262" w:lineRule="auto"/>
        <w:rPr>
          <w:sz w:val="20"/>
          <w:szCs w:val="20"/>
          <w:color w:val="auto"/>
        </w:rPr>
      </w:pPr>
      <w:r>
        <w:rPr>
          <w:rFonts w:ascii="Arial" w:cs="Arial" w:eastAsia="Arial" w:hAnsi="Arial"/>
          <w:sz w:val="16"/>
          <w:szCs w:val="16"/>
          <w:color w:val="auto"/>
        </w:rPr>
        <w:t>Our bylaws permit stockholders to nominate directors for election at an annual stockholder meeting without having been included in our proxy statement. To make such a nomination, the stockholder must deliver a notice to our Secretary in accordance with our bylaws, which, in general, require that the notice be received by our Secretary within the time period described above with respect to a stockholder proposal that is submitted for presentation directly at the 2027 annual meeting but not intended to be included in our Proxy Statement under Rule 14a-8. The stockholder and nominee must also provide information in the notice and satisfy the other requirements specified in our bylaws. In addition to satisfying all of the requirements under our bylaws, any stockholder who intends to solicit proxies in support of director nominees other than the Company’s nominees at the 2027 annual meeting must also comply with all applicable requirements of Rule 14a-19 under the Exchange Act.</w:t>
      </w:r>
    </w:p>
    <w:p>
      <w:pPr>
        <w:spacing w:after="0" w:line="38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30480</wp:posOffset>
            </wp:positionV>
            <wp:extent cx="58375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3" w:lineRule="exact"/>
        <w:rPr>
          <w:sz w:val="20"/>
          <w:szCs w:val="20"/>
          <w:color w:val="auto"/>
        </w:rPr>
      </w:pPr>
    </w:p>
    <w:p>
      <w:pPr>
        <w:jc w:val="both"/>
        <w:ind w:left="760" w:right="40"/>
        <w:spacing w:after="0" w:line="265" w:lineRule="auto"/>
        <w:rPr>
          <w:sz w:val="20"/>
          <w:szCs w:val="20"/>
          <w:color w:val="auto"/>
        </w:rPr>
      </w:pPr>
      <w:r>
        <w:rPr>
          <w:rFonts w:ascii="Arial" w:cs="Arial" w:eastAsia="Arial" w:hAnsi="Arial"/>
          <w:sz w:val="16"/>
          <w:szCs w:val="16"/>
          <w:color w:val="auto"/>
        </w:rPr>
        <w:t>The Board does not intend to bring any business before the annual stockholders meeting other than the matters referred to in this proxy statement and at this date has not been informed of any matters that may be presented to the annual stockholders meeting by others. If, however, any other matters properly come before the annual stockholders meeting, or any adjournments or postponement thereof, it is intended that the persons named in the accompanying proxy solicited by the board will vote pursuant to the proxy in accordance with their best judgment on such matters.</w:t>
      </w:r>
    </w:p>
    <w:p>
      <w:pPr>
        <w:spacing w:after="0" w:line="18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PLEASE VOTE — YOUR VOTE IS IMPORTANT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60"/>
        <w:spacing w:after="0"/>
        <w:tabs>
          <w:tab w:leader="none" w:pos="976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19"/>
        <w:spacing w:after="0"/>
        <w:rPr>
          <w:sz w:val="20"/>
          <w:szCs w:val="20"/>
          <w:color w:val="auto"/>
        </w:rPr>
      </w:pPr>
      <w:r>
        <w:rPr>
          <w:rFonts w:ascii="Arial" w:cs="Arial" w:eastAsia="Arial" w:hAnsi="Arial"/>
          <w:sz w:val="36"/>
          <w:szCs w:val="36"/>
          <w:b w:val="1"/>
          <w:bCs w:val="1"/>
          <w:color w:val="auto"/>
        </w:rPr>
        <w:t>ANNEX A:</w:t>
      </w:r>
    </w:p>
    <w:p>
      <w:pPr>
        <w:spacing w:after="0" w:line="86" w:lineRule="exact"/>
        <w:rPr>
          <w:sz w:val="20"/>
          <w:szCs w:val="20"/>
          <w:color w:val="auto"/>
        </w:rPr>
      </w:pPr>
    </w:p>
    <w:p>
      <w:pPr>
        <w:jc w:val="center"/>
        <w:ind w:left="1400" w:right="120"/>
        <w:spacing w:after="0" w:line="274" w:lineRule="auto"/>
        <w:rPr>
          <w:sz w:val="20"/>
          <w:szCs w:val="20"/>
          <w:color w:val="auto"/>
        </w:rPr>
      </w:pPr>
      <w:r>
        <w:rPr>
          <w:rFonts w:ascii="Arial" w:cs="Arial" w:eastAsia="Arial" w:hAnsi="Arial"/>
          <w:sz w:val="36"/>
          <w:szCs w:val="36"/>
          <w:b w:val="1"/>
          <w:bCs w:val="1"/>
          <w:color w:val="auto"/>
        </w:rPr>
        <w:t>RECONCILIATION OF GAAP MEASURES TO NON-GAAP MEASURES</w:t>
      </w:r>
    </w:p>
    <w:p>
      <w:pPr>
        <w:spacing w:after="0" w:line="25" w:lineRule="exact"/>
        <w:rPr>
          <w:sz w:val="20"/>
          <w:szCs w:val="20"/>
          <w:color w:val="auto"/>
        </w:rPr>
      </w:pPr>
    </w:p>
    <w:p>
      <w:pPr>
        <w:ind w:left="4840"/>
        <w:spacing w:after="0"/>
        <w:rPr>
          <w:sz w:val="20"/>
          <w:szCs w:val="20"/>
          <w:color w:val="auto"/>
        </w:rPr>
      </w:pPr>
      <w:r>
        <w:rPr>
          <w:rFonts w:ascii="Arial" w:cs="Arial" w:eastAsia="Arial" w:hAnsi="Arial"/>
          <w:sz w:val="16"/>
          <w:szCs w:val="16"/>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A: RECONCILIATION OF GAAP MEASURES TO NON-GAAP MEASURES</w:t>
      </w:r>
    </w:p>
    <w:p>
      <w:pPr>
        <w:spacing w:after="0" w:line="370" w:lineRule="exact"/>
        <w:rPr>
          <w:sz w:val="20"/>
          <w:szCs w:val="20"/>
          <w:color w:val="auto"/>
        </w:rPr>
      </w:pPr>
    </w:p>
    <w:p>
      <w:pPr>
        <w:jc w:val="both"/>
        <w:ind w:left="760" w:firstLine="1080"/>
        <w:spacing w:after="0" w:line="265" w:lineRule="auto"/>
        <w:rPr>
          <w:sz w:val="20"/>
          <w:szCs w:val="20"/>
          <w:color w:val="auto"/>
        </w:rPr>
      </w:pPr>
      <w:r>
        <w:rPr>
          <w:rFonts w:ascii="Arial" w:cs="Arial" w:eastAsia="Arial" w:hAnsi="Arial"/>
          <w:sz w:val="16"/>
          <w:szCs w:val="16"/>
          <w:color w:val="auto"/>
        </w:rPr>
        <w:t>This proxy statement contains certain financial information determined by methods other than in accordance with U.S. Generally Accepted Accounting Principles (GAAP), including (1) Non-GAAP diluted earnings per share (net earnings or loss, as adjusted for special items (as defined below), net of taxes, divided by the number of shares of our common stock on a fully diluted basis) and (2) Adjusted EBITDA (net earnings before interest, taxes, stock-based compensation, depreciation and amortization, as adjusted for special items and the annual cash incentive) on a consolidated basis.</w:t>
      </w:r>
    </w:p>
    <w:p>
      <w:pPr>
        <w:spacing w:after="0" w:line="118" w:lineRule="exact"/>
        <w:rPr>
          <w:sz w:val="20"/>
          <w:szCs w:val="20"/>
          <w:color w:val="auto"/>
        </w:rPr>
      </w:pPr>
    </w:p>
    <w:p>
      <w:pPr>
        <w:jc w:val="both"/>
        <w:ind w:left="760" w:firstLine="1080"/>
        <w:spacing w:after="0" w:line="265" w:lineRule="auto"/>
        <w:rPr>
          <w:sz w:val="20"/>
          <w:szCs w:val="20"/>
          <w:color w:val="auto"/>
        </w:rPr>
      </w:pPr>
      <w:r>
        <w:rPr>
          <w:rFonts w:ascii="Arial" w:cs="Arial" w:eastAsia="Arial" w:hAnsi="Arial"/>
          <w:sz w:val="16"/>
          <w:szCs w:val="16"/>
          <w:color w:val="auto"/>
        </w:rPr>
        <w:t xml:space="preserve">“Special items” refers to certain gains and charges we view as extraordinary, unusual or non-recurring in nature or which we believe do not reflect our core business activities. For the periods presented herein, these special items are described in the quantitative reconciliation tables included below in this </w:t>
      </w:r>
      <w:r>
        <w:rPr>
          <w:rFonts w:ascii="Arial" w:cs="Arial" w:eastAsia="Arial" w:hAnsi="Arial"/>
          <w:sz w:val="16"/>
          <w:szCs w:val="16"/>
          <w:u w:val="single" w:color="auto"/>
          <w:color w:val="auto"/>
        </w:rPr>
        <w:t>Annex A</w:t>
      </w:r>
      <w:r>
        <w:rPr>
          <w:rFonts w:ascii="Arial" w:cs="Arial" w:eastAsia="Arial" w:hAnsi="Arial"/>
          <w:sz w:val="16"/>
          <w:szCs w:val="16"/>
          <w:color w:val="auto"/>
        </w:rPr>
        <w:t>. Because of the inherent uncertainty related to these special items, management does not believe it is able to provide a meaningful forecast of the comparable GAAP measures or reconciliation to any forecasted GAAP measure without unreasonable effort.</w:t>
      </w:r>
    </w:p>
    <w:p>
      <w:pPr>
        <w:spacing w:after="0" w:line="118" w:lineRule="exact"/>
        <w:rPr>
          <w:sz w:val="20"/>
          <w:szCs w:val="20"/>
          <w:color w:val="auto"/>
        </w:rPr>
      </w:pPr>
    </w:p>
    <w:p>
      <w:pPr>
        <w:jc w:val="both"/>
        <w:ind w:left="760" w:firstLine="1080"/>
        <w:spacing w:after="0" w:line="262" w:lineRule="auto"/>
        <w:rPr>
          <w:sz w:val="20"/>
          <w:szCs w:val="20"/>
          <w:color w:val="auto"/>
        </w:rPr>
      </w:pPr>
      <w:r>
        <w:rPr>
          <w:rFonts w:ascii="Arial" w:cs="Arial" w:eastAsia="Arial" w:hAnsi="Arial"/>
          <w:sz w:val="16"/>
          <w:szCs w:val="16"/>
          <w:color w:val="auto"/>
        </w:rPr>
        <w:t>These non-GAAP measures are additional tools intended to assist our management in comparing our performance on a more consistent basis for purposes of business decision 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 determine levels of operating and capital investments and identifying and assessing additional trends potentially impacting our Company that may not be shown solely by comparisons of GAAP measures. As discussed in this proxy statement, Adjusted EBITDA is also used as part of our incentive compensation program for our executive officers and others.</w:t>
      </w:r>
    </w:p>
    <w:p>
      <w:pPr>
        <w:spacing w:after="0" w:line="322" w:lineRule="exact"/>
        <w:rPr>
          <w:sz w:val="20"/>
          <w:szCs w:val="20"/>
          <w:color w:val="auto"/>
        </w:rPr>
      </w:pPr>
    </w:p>
    <w:p>
      <w:pPr>
        <w:jc w:val="both"/>
        <w:ind w:left="760" w:firstLine="1080"/>
        <w:spacing w:after="0" w:line="264" w:lineRule="auto"/>
        <w:rPr>
          <w:sz w:val="20"/>
          <w:szCs w:val="20"/>
          <w:color w:val="auto"/>
        </w:rPr>
      </w:pPr>
      <w:r>
        <w:rPr>
          <w:rFonts w:ascii="Arial" w:cs="Arial" w:eastAsia="Arial" w:hAnsi="Arial"/>
          <w:sz w:val="16"/>
          <w:szCs w:val="16"/>
          <w:color w:val="auto"/>
        </w:rPr>
        <w:t>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w:t>
      </w:r>
    </w:p>
    <w:p>
      <w:pPr>
        <w:spacing w:after="0" w:line="172" w:lineRule="exact"/>
        <w:rPr>
          <w:sz w:val="20"/>
          <w:szCs w:val="20"/>
          <w:color w:val="auto"/>
        </w:rPr>
      </w:pPr>
    </w:p>
    <w:p>
      <w:pPr>
        <w:ind w:left="760" w:right="120"/>
        <w:spacing w:after="0" w:line="296" w:lineRule="auto"/>
        <w:rPr>
          <w:sz w:val="20"/>
          <w:szCs w:val="20"/>
          <w:color w:val="auto"/>
        </w:rPr>
      </w:pPr>
      <w:r>
        <w:rPr>
          <w:rFonts w:ascii="Arial" w:cs="Arial" w:eastAsia="Arial" w:hAnsi="Arial"/>
          <w:sz w:val="18"/>
          <w:szCs w:val="18"/>
          <w:b w:val="1"/>
          <w:bCs w:val="1"/>
          <w:color w:val="auto"/>
        </w:rPr>
        <w:t>Reconciliation of net earnings to net earnings excluding special items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73660</wp:posOffset>
            </wp:positionV>
            <wp:extent cx="5837555" cy="7112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37555" cy="711200"/>
                    </a:xfrm>
                    <a:prstGeom prst="rect">
                      <a:avLst/>
                    </a:prstGeom>
                    <a:noFill/>
                  </pic:spPr>
                </pic:pic>
              </a:graphicData>
            </a:graphic>
          </wp:anchor>
        </w:drawing>
      </w:r>
    </w:p>
    <w:p>
      <w:pPr>
        <w:spacing w:after="0" w:line="117"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5"/>
                <w:szCs w:val="15"/>
                <w:b w:val="1"/>
                <w:bCs w:val="1"/>
                <w:color w:val="auto"/>
              </w:rPr>
              <w:t>​ ​</w:t>
            </w:r>
          </w:p>
        </w:tc>
        <w:tc>
          <w:tcPr>
            <w:tcW w:w="1340" w:type="dxa"/>
            <w:vAlign w:val="bottom"/>
            <w:gridSpan w:val="2"/>
          </w:tcPr>
          <w:p>
            <w:pPr>
              <w:ind w:left="1140"/>
              <w:spacing w:after="0"/>
              <w:rPr>
                <w:sz w:val="20"/>
                <w:szCs w:val="20"/>
                <w:color w:val="auto"/>
              </w:rPr>
            </w:pPr>
            <w:r>
              <w:rPr>
                <w:rFonts w:ascii="Arial" w:cs="Arial" w:eastAsia="Arial" w:hAnsi="Arial"/>
                <w:sz w:val="15"/>
                <w:szCs w:val="15"/>
                <w:b w:val="1"/>
                <w:bCs w:val="1"/>
                <w:color w:val="auto"/>
              </w:rPr>
              <w:t>​ ​</w:t>
            </w:r>
          </w:p>
        </w:tc>
        <w:tc>
          <w:tcPr>
            <w:tcW w:w="7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ind w:left="880"/>
              <w:spacing w:after="0"/>
              <w:rPr>
                <w:sz w:val="20"/>
                <w:szCs w:val="20"/>
                <w:color w:val="auto"/>
              </w:rPr>
            </w:pPr>
            <w:r>
              <w:rPr>
                <w:rFonts w:ascii="Arial" w:cs="Arial" w:eastAsia="Arial" w:hAnsi="Arial"/>
                <w:sz w:val="15"/>
                <w:szCs w:val="15"/>
                <w:b w:val="1"/>
                <w:bCs w:val="1"/>
                <w:color w:val="auto"/>
              </w:rPr>
              <w:t>Year Ended December 31, 2025</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04"/>
        </w:trPr>
        <w:tc>
          <w:tcPr>
            <w:tcW w:w="2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Earnings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2"/>
          </w:tcPr>
          <w:p>
            <w:pPr>
              <w:jc w:val="center"/>
              <w:ind w:left="4"/>
              <w:spacing w:after="0"/>
              <w:rPr>
                <w:sz w:val="20"/>
                <w:szCs w:val="20"/>
                <w:color w:val="auto"/>
              </w:rPr>
            </w:pPr>
            <w:r>
              <w:rPr>
                <w:rFonts w:ascii="Arial" w:cs="Arial" w:eastAsia="Arial" w:hAnsi="Arial"/>
                <w:sz w:val="15"/>
                <w:szCs w:val="15"/>
                <w:b w:val="1"/>
                <w:bCs w:val="1"/>
                <w:color w:val="auto"/>
                <w:w w:val="98"/>
              </w:rPr>
              <w:t>Diluted</w:t>
            </w:r>
          </w:p>
        </w:tc>
      </w:tr>
      <w:tr>
        <w:trPr>
          <w:trHeight w:val="189"/>
        </w:trPr>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b w:val="1"/>
                <w:bCs w:val="1"/>
                <w:color w:val="auto"/>
              </w:rPr>
              <w:t>Gross</w:t>
            </w:r>
          </w:p>
        </w:tc>
        <w:tc>
          <w:tcPr>
            <w:tcW w:w="1040" w:type="dxa"/>
            <w:vAlign w:val="bottom"/>
          </w:tcPr>
          <w:p>
            <w:pPr>
              <w:ind w:left="280"/>
              <w:spacing w:after="0"/>
              <w:rPr>
                <w:sz w:val="20"/>
                <w:szCs w:val="20"/>
                <w:color w:val="auto"/>
              </w:rPr>
            </w:pPr>
            <w:r>
              <w:rPr>
                <w:rFonts w:ascii="Arial" w:cs="Arial" w:eastAsia="Arial" w:hAnsi="Arial"/>
                <w:sz w:val="15"/>
                <w:szCs w:val="15"/>
                <w:b w:val="1"/>
                <w:bCs w:val="1"/>
                <w:color w:val="auto"/>
              </w:rPr>
              <w:t>Operating</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Before</w:t>
            </w:r>
          </w:p>
        </w:tc>
        <w:tc>
          <w:tcPr>
            <w:tcW w:w="1020" w:type="dxa"/>
            <w:vAlign w:val="bottom"/>
          </w:tcPr>
          <w:p>
            <w:pPr>
              <w:ind w:left="260"/>
              <w:spacing w:after="0"/>
              <w:rPr>
                <w:sz w:val="20"/>
                <w:szCs w:val="20"/>
                <w:color w:val="auto"/>
              </w:rPr>
            </w:pPr>
            <w:r>
              <w:rPr>
                <w:rFonts w:ascii="Arial" w:cs="Arial" w:eastAsia="Arial" w:hAnsi="Arial"/>
                <w:sz w:val="15"/>
                <w:szCs w:val="15"/>
                <w:b w:val="1"/>
                <w:bCs w:val="1"/>
                <w:color w:val="auto"/>
              </w:rPr>
              <w:t>Tax</w:t>
            </w:r>
          </w:p>
        </w:tc>
        <w:tc>
          <w:tcPr>
            <w:tcW w:w="580" w:type="dxa"/>
            <w:vAlign w:val="bottom"/>
          </w:tcPr>
          <w:p>
            <w:pPr>
              <w:ind w:left="100"/>
              <w:spacing w:after="0"/>
              <w:rPr>
                <w:sz w:val="20"/>
                <w:szCs w:val="20"/>
                <w:color w:val="auto"/>
              </w:rPr>
            </w:pPr>
            <w:r>
              <w:rPr>
                <w:rFonts w:ascii="Arial" w:cs="Arial" w:eastAsia="Arial" w:hAnsi="Arial"/>
                <w:sz w:val="15"/>
                <w:szCs w:val="15"/>
                <w:b w:val="1"/>
                <w:bCs w:val="1"/>
                <w:color w:val="auto"/>
              </w:rPr>
              <w:t>Net</w:t>
            </w:r>
          </w:p>
        </w:tc>
        <w:tc>
          <w:tcPr>
            <w:tcW w:w="1020" w:type="dxa"/>
            <w:vAlign w:val="bottom"/>
            <w:gridSpan w:val="2"/>
          </w:tcPr>
          <w:p>
            <w:pPr>
              <w:jc w:val="center"/>
              <w:ind w:left="4"/>
              <w:spacing w:after="0"/>
              <w:rPr>
                <w:sz w:val="20"/>
                <w:szCs w:val="20"/>
                <w:color w:val="auto"/>
              </w:rPr>
            </w:pPr>
            <w:r>
              <w:rPr>
                <w:rFonts w:ascii="Arial" w:cs="Arial" w:eastAsia="Arial" w:hAnsi="Arial"/>
                <w:sz w:val="15"/>
                <w:szCs w:val="15"/>
                <w:b w:val="1"/>
                <w:bCs w:val="1"/>
                <w:color w:val="auto"/>
              </w:rPr>
              <w:t>Earnings</w:t>
            </w:r>
          </w:p>
        </w:tc>
      </w:tr>
      <w:tr>
        <w:trPr>
          <w:trHeight w:val="222"/>
        </w:trPr>
        <w:tc>
          <w:tcPr>
            <w:tcW w:w="2300" w:type="dxa"/>
            <w:vAlign w:val="bottom"/>
          </w:tcPr>
          <w:p>
            <w:pPr>
              <w:ind w:left="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 thousands)</w:t>
            </w:r>
          </w:p>
        </w:tc>
        <w:tc>
          <w:tcPr>
            <w:tcW w:w="2060" w:type="dxa"/>
            <w:vAlign w:val="bottom"/>
            <w:gridSpan w:val="3"/>
          </w:tcPr>
          <w:p>
            <w:pPr>
              <w:jc w:val="right"/>
              <w:ind w:right="44"/>
              <w:spacing w:after="0"/>
              <w:rPr>
                <w:sz w:val="20"/>
                <w:szCs w:val="20"/>
                <w:color w:val="auto"/>
              </w:rPr>
            </w:pPr>
            <w:r>
              <w:rPr>
                <w:rFonts w:ascii="Arial" w:cs="Arial" w:eastAsia="Arial" w:hAnsi="Arial"/>
                <w:sz w:val="15"/>
                <w:szCs w:val="15"/>
                <w:b w:val="1"/>
                <w:bCs w:val="1"/>
                <w:color w:val="auto"/>
              </w:rPr>
              <w:t>​ ​   Profit</w:t>
            </w:r>
          </w:p>
        </w:tc>
        <w:tc>
          <w:tcPr>
            <w:tcW w:w="1040" w:type="dxa"/>
            <w:vAlign w:val="bottom"/>
          </w:tcPr>
          <w:p>
            <w:pPr>
              <w:ind w:left="120"/>
              <w:spacing w:after="0"/>
              <w:rPr>
                <w:sz w:val="20"/>
                <w:szCs w:val="20"/>
                <w:color w:val="auto"/>
              </w:rPr>
            </w:pPr>
            <w:r>
              <w:rPr>
                <w:rFonts w:ascii="Arial" w:cs="Arial" w:eastAsia="Arial" w:hAnsi="Arial"/>
                <w:sz w:val="15"/>
                <w:szCs w:val="15"/>
                <w:b w:val="1"/>
                <w:bCs w:val="1"/>
                <w:color w:val="auto"/>
              </w:rPr>
              <w:t>​ ​  Profit</w:t>
            </w:r>
          </w:p>
        </w:tc>
        <w:tc>
          <w:tcPr>
            <w:tcW w:w="3800" w:type="dxa"/>
            <w:vAlign w:val="bottom"/>
            <w:gridSpan w:val="5"/>
          </w:tcPr>
          <w:p>
            <w:pPr>
              <w:ind w:left="20"/>
              <w:spacing w:after="0"/>
              <w:rPr>
                <w:sz w:val="20"/>
                <w:szCs w:val="20"/>
                <w:color w:val="auto"/>
              </w:rPr>
            </w:pPr>
            <w:r>
              <w:rPr>
                <w:rFonts w:ascii="Arial" w:cs="Arial" w:eastAsia="Arial" w:hAnsi="Arial"/>
                <w:sz w:val="15"/>
                <w:szCs w:val="15"/>
                <w:b w:val="1"/>
                <w:bCs w:val="1"/>
                <w:color w:val="auto"/>
              </w:rPr>
              <w:t>​ ​Income Tax ​ ​Expense ​ ​Earnings ​ ​per Share ​</w:t>
            </w:r>
          </w:p>
        </w:tc>
      </w:tr>
      <w:tr>
        <w:trPr>
          <w:trHeight w:val="20"/>
        </w:trPr>
        <w:tc>
          <w:tcPr>
            <w:tcW w:w="2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3" w:lineRule="exact"/>
        <w:rPr>
          <w:sz w:val="20"/>
          <w:szCs w:val="20"/>
          <w:color w:val="auto"/>
        </w:rPr>
      </w:pPr>
    </w:p>
    <w:p>
      <w:pPr>
        <w:sectPr>
          <w:pgSz w:w="11900" w:h="16838" w:orient="portrait"/>
          <w:cols w:equalWidth="0" w:num="1">
            <w:col w:w="9960"/>
          </w:cols>
          <w:pgMar w:left="580" w:top="97" w:right="1359" w:bottom="1440" w:gutter="0" w:footer="0" w:header="0"/>
        </w:sectPr>
      </w:pPr>
    </w:p>
    <w:p>
      <w:pPr>
        <w:ind w:left="800"/>
        <w:spacing w:after="0"/>
        <w:rPr>
          <w:sz w:val="20"/>
          <w:szCs w:val="20"/>
          <w:color w:val="auto"/>
        </w:rPr>
      </w:pPr>
      <w:r>
        <w:rPr>
          <w:rFonts w:ascii="Arial" w:cs="Arial" w:eastAsia="Arial" w:hAnsi="Arial"/>
          <w:sz w:val="15"/>
          <w:szCs w:val="15"/>
          <w:color w:val="auto"/>
        </w:rPr>
        <w:t>​GAAP Results</w:t>
      </w:r>
    </w:p>
    <w:p>
      <w:pPr>
        <w:spacing w:after="0" w:line="57" w:lineRule="exact"/>
        <w:rPr>
          <w:sz w:val="20"/>
          <w:szCs w:val="20"/>
          <w:color w:val="auto"/>
        </w:rPr>
      </w:pPr>
    </w:p>
    <w:p>
      <w:pPr>
        <w:ind w:left="1000" w:hanging="197"/>
        <w:spacing w:after="0"/>
        <w:tabs>
          <w:tab w:leader="none" w:pos="10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Plus: Debt refinancing charges</w:t>
      </w:r>
    </w:p>
    <w:p>
      <w:pPr>
        <w:spacing w:after="0" w:line="54" w:lineRule="exact"/>
        <w:rPr>
          <w:rFonts w:ascii="Arial" w:cs="Arial" w:eastAsia="Arial" w:hAnsi="Arial"/>
          <w:sz w:val="15"/>
          <w:szCs w:val="15"/>
          <w:color w:val="auto"/>
        </w:rPr>
      </w:pPr>
    </w:p>
    <w:p>
      <w:pPr>
        <w:ind w:left="1000" w:hanging="197"/>
        <w:spacing w:after="0" w:line="180" w:lineRule="auto"/>
        <w:tabs>
          <w:tab w:leader="none" w:pos="1000" w:val="left"/>
        </w:tabs>
        <w:numPr>
          <w:ilvl w:val="0"/>
          <w:numId w:val="90"/>
        </w:numPr>
        <w:rPr>
          <w:rFonts w:ascii="Arial" w:cs="Arial" w:eastAsia="Arial" w:hAnsi="Arial"/>
          <w:sz w:val="30"/>
          <w:szCs w:val="30"/>
          <w:color w:val="auto"/>
          <w:vertAlign w:val="subscript"/>
        </w:rPr>
      </w:pPr>
      <w:r>
        <w:rPr>
          <w:rFonts w:ascii="Arial" w:cs="Arial" w:eastAsia="Arial" w:hAnsi="Arial"/>
          <w:sz w:val="15"/>
          <w:szCs w:val="15"/>
          <w:color w:val="auto"/>
        </w:rPr>
        <w:t>Plus: Special Items</w:t>
      </w:r>
      <w:r>
        <w:rPr>
          <w:rFonts w:ascii="Arial" w:cs="Arial" w:eastAsia="Arial" w:hAnsi="Arial"/>
          <w:sz w:val="18"/>
          <w:szCs w:val="18"/>
          <w:color w:val="auto"/>
          <w:vertAlign w:val="superscript"/>
        </w:rPr>
        <w:t>(1)</w:t>
      </w:r>
    </w:p>
    <w:p>
      <w:pPr>
        <w:ind w:left="1140" w:hanging="337"/>
        <w:spacing w:after="0" w:line="180" w:lineRule="auto"/>
        <w:tabs>
          <w:tab w:leader="none" w:pos="1140" w:val="left"/>
        </w:tabs>
        <w:numPr>
          <w:ilvl w:val="0"/>
          <w:numId w:val="90"/>
        </w:numPr>
        <w:rPr>
          <w:rFonts w:ascii="Arial" w:cs="Arial" w:eastAsia="Arial" w:hAnsi="Arial"/>
          <w:sz w:val="29"/>
          <w:szCs w:val="29"/>
          <w:color w:val="auto"/>
          <w:vertAlign w:val="subscript"/>
        </w:rPr>
      </w:pPr>
      <w:r>
        <w:rPr>
          <w:rFonts w:ascii="Arial" w:cs="Arial" w:eastAsia="Arial" w:hAnsi="Arial"/>
          <w:sz w:val="15"/>
          <w:szCs w:val="15"/>
          <w:color w:val="auto"/>
        </w:rPr>
        <w:t>Legal matters</w:t>
      </w:r>
      <w:r>
        <w:rPr>
          <w:rFonts w:ascii="Arial" w:cs="Arial" w:eastAsia="Arial" w:hAnsi="Arial"/>
          <w:sz w:val="18"/>
          <w:szCs w:val="18"/>
          <w:color w:val="auto"/>
          <w:vertAlign w:val="superscript"/>
        </w:rPr>
        <w:t>(2)</w:t>
      </w:r>
    </w:p>
    <w:p>
      <w:pPr>
        <w:ind w:left="1140"/>
        <w:spacing w:after="0"/>
        <w:rPr>
          <w:rFonts w:ascii="Arial" w:cs="Arial" w:eastAsia="Arial" w:hAnsi="Arial"/>
          <w:sz w:val="29"/>
          <w:szCs w:val="29"/>
          <w:color w:val="auto"/>
          <w:vertAlign w:val="subscript"/>
        </w:rPr>
      </w:pPr>
      <w:r>
        <w:rPr>
          <w:rFonts w:ascii="Arial" w:cs="Arial" w:eastAsia="Arial" w:hAnsi="Arial"/>
          <w:sz w:val="15"/>
          <w:szCs w:val="15"/>
          <w:color w:val="auto"/>
        </w:rPr>
        <w:t>Acima acquired assets depreciation and</w:t>
      </w:r>
    </w:p>
    <w:p>
      <w:pPr>
        <w:spacing w:after="0" w:line="19" w:lineRule="exact"/>
        <w:rPr>
          <w:rFonts w:ascii="Arial" w:cs="Arial" w:eastAsia="Arial" w:hAnsi="Arial"/>
          <w:sz w:val="29"/>
          <w:szCs w:val="29"/>
          <w:color w:val="auto"/>
          <w:vertAlign w:val="subscript"/>
        </w:rPr>
      </w:pPr>
    </w:p>
    <w:p>
      <w:pPr>
        <w:ind w:left="1300" w:hanging="497"/>
        <w:spacing w:after="0" w:line="182" w:lineRule="auto"/>
        <w:tabs>
          <w:tab w:leader="none" w:pos="1300" w:val="left"/>
        </w:tabs>
        <w:numPr>
          <w:ilvl w:val="0"/>
          <w:numId w:val="90"/>
        </w:numPr>
        <w:rPr>
          <w:rFonts w:ascii="Arial" w:cs="Arial" w:eastAsia="Arial" w:hAnsi="Arial"/>
          <w:sz w:val="29"/>
          <w:szCs w:val="29"/>
          <w:color w:val="auto"/>
          <w:vertAlign w:val="subscript"/>
        </w:rPr>
      </w:pPr>
      <w:r>
        <w:rPr>
          <w:rFonts w:ascii="Arial" w:cs="Arial" w:eastAsia="Arial" w:hAnsi="Arial"/>
          <w:sz w:val="15"/>
          <w:szCs w:val="15"/>
          <w:color w:val="auto"/>
        </w:rPr>
        <w:t>amortization</w:t>
      </w:r>
      <w:r>
        <w:rPr>
          <w:rFonts w:ascii="Arial" w:cs="Arial" w:eastAsia="Arial" w:hAnsi="Arial"/>
          <w:sz w:val="18"/>
          <w:szCs w:val="18"/>
          <w:color w:val="auto"/>
          <w:vertAlign w:val="superscript"/>
        </w:rPr>
        <w:t>(3)</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Brigit acquired assets depreciation and</w:t>
      </w:r>
    </w:p>
    <w:p>
      <w:pPr>
        <w:ind w:left="1300" w:hanging="497"/>
        <w:spacing w:after="0" w:line="189" w:lineRule="auto"/>
        <w:tabs>
          <w:tab w:leader="none" w:pos="1300" w:val="left"/>
        </w:tabs>
        <w:numPr>
          <w:ilvl w:val="0"/>
          <w:numId w:val="91"/>
        </w:numPr>
        <w:rPr>
          <w:rFonts w:ascii="Arial" w:cs="Arial" w:eastAsia="Arial" w:hAnsi="Arial"/>
          <w:sz w:val="31"/>
          <w:szCs w:val="31"/>
          <w:color w:val="auto"/>
          <w:vertAlign w:val="subscript"/>
        </w:rPr>
      </w:pPr>
      <w:r>
        <w:rPr>
          <w:rFonts w:ascii="Arial" w:cs="Arial" w:eastAsia="Arial" w:hAnsi="Arial"/>
          <w:sz w:val="15"/>
          <w:szCs w:val="15"/>
          <w:color w:val="auto"/>
        </w:rPr>
        <w:t>amortization</w:t>
      </w:r>
      <w:r>
        <w:rPr>
          <w:rFonts w:ascii="Arial" w:cs="Arial" w:eastAsia="Arial" w:hAnsi="Arial"/>
          <w:sz w:val="19"/>
          <w:szCs w:val="19"/>
          <w:color w:val="auto"/>
          <w:vertAlign w:val="superscript"/>
        </w:rPr>
        <w:t>(4)</w:t>
      </w:r>
    </w:p>
    <w:p>
      <w:pPr>
        <w:spacing w:after="0" w:line="5" w:lineRule="exact"/>
        <w:rPr>
          <w:rFonts w:ascii="Arial" w:cs="Arial" w:eastAsia="Arial" w:hAnsi="Arial"/>
          <w:sz w:val="31"/>
          <w:szCs w:val="31"/>
          <w:color w:val="auto"/>
          <w:vertAlign w:val="subscript"/>
        </w:rPr>
      </w:pPr>
    </w:p>
    <w:p>
      <w:pPr>
        <w:ind w:left="1140" w:right="260" w:hanging="337"/>
        <w:spacing w:after="0" w:line="207" w:lineRule="auto"/>
        <w:tabs>
          <w:tab w:leader="none" w:pos="1140" w:val="left"/>
        </w:tabs>
        <w:numPr>
          <w:ilvl w:val="0"/>
          <w:numId w:val="91"/>
        </w:numPr>
        <w:rPr>
          <w:rFonts w:ascii="Arial" w:cs="Arial" w:eastAsia="Arial" w:hAnsi="Arial"/>
          <w:sz w:val="31"/>
          <w:szCs w:val="31"/>
          <w:color w:val="auto"/>
          <w:vertAlign w:val="subscript"/>
        </w:rPr>
      </w:pPr>
      <w:r>
        <w:rPr>
          <w:rFonts w:ascii="Arial" w:cs="Arial" w:eastAsia="Arial" w:hAnsi="Arial"/>
          <w:sz w:val="15"/>
          <w:szCs w:val="15"/>
          <w:color w:val="auto"/>
        </w:rPr>
        <w:t>Brigit equity consideration vesting</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Brigit replacement awards and other</w:t>
      </w:r>
    </w:p>
    <w:p>
      <w:pPr>
        <w:ind w:left="1300" w:hanging="497"/>
        <w:spacing w:after="0" w:line="182" w:lineRule="auto"/>
        <w:tabs>
          <w:tab w:leader="none" w:pos="1300" w:val="left"/>
        </w:tabs>
        <w:numPr>
          <w:ilvl w:val="0"/>
          <w:numId w:val="91"/>
        </w:numPr>
        <w:rPr>
          <w:rFonts w:ascii="Arial" w:cs="Arial" w:eastAsia="Arial" w:hAnsi="Arial"/>
          <w:sz w:val="29"/>
          <w:szCs w:val="29"/>
          <w:color w:val="auto"/>
          <w:vertAlign w:val="subscript"/>
        </w:rPr>
      </w:pPr>
      <w:r>
        <w:rPr>
          <w:rFonts w:ascii="Arial" w:cs="Arial" w:eastAsia="Arial" w:hAnsi="Arial"/>
          <w:sz w:val="15"/>
          <w:szCs w:val="15"/>
          <w:color w:val="auto"/>
        </w:rPr>
        <w:t>compensation</w:t>
      </w:r>
      <w:r>
        <w:rPr>
          <w:rFonts w:ascii="Arial" w:cs="Arial" w:eastAsia="Arial" w:hAnsi="Arial"/>
          <w:sz w:val="18"/>
          <w:szCs w:val="18"/>
          <w:color w:val="auto"/>
          <w:vertAlign w:val="superscript"/>
        </w:rPr>
        <w:t>(6)</w:t>
      </w:r>
    </w:p>
    <w:p>
      <w:pPr>
        <w:ind w:left="1140" w:hanging="337"/>
        <w:spacing w:after="0" w:line="181" w:lineRule="auto"/>
        <w:tabs>
          <w:tab w:leader="none" w:pos="1140" w:val="left"/>
        </w:tabs>
        <w:numPr>
          <w:ilvl w:val="0"/>
          <w:numId w:val="91"/>
        </w:numPr>
        <w:rPr>
          <w:rFonts w:ascii="Arial" w:cs="Arial" w:eastAsia="Arial" w:hAnsi="Arial"/>
          <w:sz w:val="31"/>
          <w:szCs w:val="31"/>
          <w:color w:val="auto"/>
          <w:vertAlign w:val="subscript"/>
        </w:rPr>
      </w:pPr>
      <w:r>
        <w:rPr>
          <w:rFonts w:ascii="Arial" w:cs="Arial" w:eastAsia="Arial" w:hAnsi="Arial"/>
          <w:sz w:val="15"/>
          <w:szCs w:val="15"/>
          <w:color w:val="auto"/>
        </w:rPr>
        <w:t>Asset impairments</w:t>
      </w:r>
      <w:r>
        <w:rPr>
          <w:rFonts w:ascii="Arial" w:cs="Arial" w:eastAsia="Arial" w:hAnsi="Arial"/>
          <w:sz w:val="19"/>
          <w:szCs w:val="19"/>
          <w:color w:val="auto"/>
          <w:vertAlign w:val="superscript"/>
        </w:rPr>
        <w:t>(7)</w:t>
      </w:r>
    </w:p>
    <w:p>
      <w:pPr>
        <w:spacing w:after="0" w:line="1" w:lineRule="exact"/>
        <w:rPr>
          <w:rFonts w:ascii="Arial" w:cs="Arial" w:eastAsia="Arial" w:hAnsi="Arial"/>
          <w:sz w:val="31"/>
          <w:szCs w:val="31"/>
          <w:color w:val="auto"/>
          <w:vertAlign w:val="subscript"/>
        </w:rPr>
      </w:pPr>
    </w:p>
    <w:p>
      <w:pPr>
        <w:ind w:left="1140" w:hanging="337"/>
        <w:spacing w:after="0"/>
        <w:tabs>
          <w:tab w:leader="none" w:pos="11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Brigit transaction costs</w:t>
      </w:r>
    </w:p>
    <w:p>
      <w:pPr>
        <w:spacing w:after="0" w:line="46" w:lineRule="exact"/>
        <w:rPr>
          <w:rFonts w:ascii="Arial" w:cs="Arial" w:eastAsia="Arial" w:hAnsi="Arial"/>
          <w:sz w:val="15"/>
          <w:szCs w:val="15"/>
          <w:color w:val="auto"/>
        </w:rPr>
      </w:pPr>
    </w:p>
    <w:p>
      <w:pPr>
        <w:ind w:left="1140" w:hanging="337"/>
        <w:spacing w:after="0" w:line="188" w:lineRule="auto"/>
        <w:tabs>
          <w:tab w:leader="none" w:pos="1140" w:val="left"/>
        </w:tabs>
        <w:numPr>
          <w:ilvl w:val="0"/>
          <w:numId w:val="91"/>
        </w:numPr>
        <w:rPr>
          <w:rFonts w:ascii="Arial" w:cs="Arial" w:eastAsia="Arial" w:hAnsi="Arial"/>
          <w:sz w:val="31"/>
          <w:szCs w:val="31"/>
          <w:color w:val="auto"/>
          <w:vertAlign w:val="subscript"/>
        </w:rPr>
      </w:pPr>
      <w:r>
        <w:rPr>
          <w:rFonts w:ascii="Arial" w:cs="Arial" w:eastAsia="Arial" w:hAnsi="Arial"/>
          <w:sz w:val="15"/>
          <w:szCs w:val="15"/>
          <w:color w:val="auto"/>
        </w:rPr>
        <w:t>Accelerated stock compensation</w:t>
      </w:r>
      <w:r>
        <w:rPr>
          <w:rFonts w:ascii="Arial" w:cs="Arial" w:eastAsia="Arial" w:hAnsi="Arial"/>
          <w:sz w:val="19"/>
          <w:szCs w:val="19"/>
          <w:color w:val="auto"/>
          <w:vertAlign w:val="superscript"/>
        </w:rPr>
        <w:t>(8)</w:t>
      </w:r>
    </w:p>
    <w:p>
      <w:pPr>
        <w:spacing w:after="0" w:line="1" w:lineRule="exact"/>
        <w:rPr>
          <w:rFonts w:ascii="Arial" w:cs="Arial" w:eastAsia="Arial" w:hAnsi="Arial"/>
          <w:sz w:val="31"/>
          <w:szCs w:val="31"/>
          <w:color w:val="auto"/>
          <w:vertAlign w:val="subscript"/>
        </w:rPr>
      </w:pPr>
    </w:p>
    <w:p>
      <w:pPr>
        <w:ind w:left="1140" w:hanging="337"/>
        <w:spacing w:after="0" w:line="184" w:lineRule="auto"/>
        <w:tabs>
          <w:tab w:leader="none" w:pos="1140" w:val="left"/>
        </w:tabs>
        <w:numPr>
          <w:ilvl w:val="0"/>
          <w:numId w:val="91"/>
        </w:numPr>
        <w:rPr>
          <w:rFonts w:ascii="Arial" w:cs="Arial" w:eastAsia="Arial" w:hAnsi="Arial"/>
          <w:sz w:val="29"/>
          <w:szCs w:val="29"/>
          <w:color w:val="auto"/>
          <w:vertAlign w:val="subscript"/>
        </w:rPr>
      </w:pPr>
      <w:r>
        <w:rPr>
          <w:rFonts w:ascii="Arial" w:cs="Arial" w:eastAsia="Arial" w:hAnsi="Arial"/>
          <w:sz w:val="15"/>
          <w:szCs w:val="15"/>
          <w:color w:val="auto"/>
        </w:rPr>
        <w:t>Other</w:t>
      </w:r>
      <w:r>
        <w:rPr>
          <w:rFonts w:ascii="Arial" w:cs="Arial" w:eastAsia="Arial" w:hAnsi="Arial"/>
          <w:sz w:val="18"/>
          <w:szCs w:val="18"/>
          <w:color w:val="auto"/>
          <w:vertAlign w:val="superscript"/>
        </w:rPr>
        <w:t>(9)</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​Non-GAAP Adjusted Results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180" w:type="dxa"/>
            <w:vAlign w:val="bottom"/>
            <w:gridSpan w:val="5"/>
          </w:tcPr>
          <w:p>
            <w:pPr>
              <w:jc w:val="right"/>
              <w:spacing w:after="0"/>
              <w:rPr>
                <w:sz w:val="20"/>
                <w:szCs w:val="20"/>
                <w:color w:val="auto"/>
              </w:rPr>
            </w:pPr>
            <w:r>
              <w:rPr>
                <w:rFonts w:ascii="Arial" w:cs="Arial" w:eastAsia="Arial" w:hAnsi="Arial"/>
                <w:sz w:val="15"/>
                <w:szCs w:val="15"/>
                <w:color w:val="auto"/>
              </w:rPr>
              <w:t>​ ​​$2,271,709​​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​$223,347​​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​$108,091​​</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​$ 34,849​​</w:t>
            </w:r>
          </w:p>
        </w:tc>
        <w:tc>
          <w:tcPr>
            <w:tcW w:w="1100" w:type="dxa"/>
            <w:vAlign w:val="bottom"/>
            <w:gridSpan w:val="3"/>
          </w:tcPr>
          <w:p>
            <w:pPr>
              <w:jc w:val="right"/>
              <w:ind w:right="70"/>
              <w:spacing w:after="0"/>
              <w:rPr>
                <w:sz w:val="20"/>
                <w:szCs w:val="20"/>
                <w:color w:val="auto"/>
              </w:rPr>
            </w:pPr>
            <w:r>
              <w:rPr>
                <w:rFonts w:ascii="Arial" w:cs="Arial" w:eastAsia="Arial" w:hAnsi="Arial"/>
                <w:sz w:val="15"/>
                <w:szCs w:val="15"/>
                <w:color w:val="auto"/>
              </w:rPr>
              <w:t>​​$ 73,242​​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​$ 1.25​​</w:t>
            </w:r>
          </w:p>
        </w:tc>
        <w:tc>
          <w:tcPr>
            <w:tcW w:w="0" w:type="dxa"/>
            <w:vAlign w:val="bottom"/>
          </w:tcPr>
          <w:p>
            <w:pPr>
              <w:spacing w:after="0"/>
              <w:rPr>
                <w:sz w:val="1"/>
                <w:szCs w:val="1"/>
                <w:color w:val="auto"/>
              </w:rPr>
            </w:pPr>
          </w:p>
        </w:tc>
      </w:tr>
      <w:tr>
        <w:trPr>
          <w:trHeight w:val="230"/>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80" w:type="dxa"/>
            <w:vAlign w:val="bottom"/>
          </w:tcPr>
          <w:p>
            <w:pPr>
              <w:jc w:val="right"/>
              <w:ind w:right="31"/>
              <w:spacing w:after="0"/>
              <w:rPr>
                <w:sz w:val="20"/>
                <w:szCs w:val="20"/>
                <w:color w:val="auto"/>
              </w:rPr>
            </w:pPr>
            <w:r>
              <w:rPr>
                <w:rFonts w:ascii="Arial" w:cs="Arial" w:eastAsia="Arial" w:hAnsi="Arial"/>
                <w:sz w:val="15"/>
                <w:szCs w:val="15"/>
                <w:color w:val="auto"/>
              </w:rPr>
              <w:t>—​​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600" w:type="dxa"/>
            <w:vAlign w:val="bottom"/>
          </w:tcPr>
          <w:p>
            <w:pPr>
              <w:jc w:val="right"/>
              <w:spacing w:after="0"/>
              <w:rPr>
                <w:sz w:val="20"/>
                <w:szCs w:val="20"/>
                <w:color w:val="auto"/>
              </w:rPr>
            </w:pPr>
            <w:r>
              <w:rPr>
                <w:rFonts w:ascii="Arial" w:cs="Arial" w:eastAsia="Arial" w:hAnsi="Arial"/>
                <w:sz w:val="15"/>
                <w:szCs w:val="15"/>
                <w:color w:val="auto"/>
              </w:rPr>
              <w:t>4,894​​</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 1,255​​</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70"/>
              <w:spacing w:after="0"/>
              <w:rPr>
                <w:sz w:val="20"/>
                <w:szCs w:val="20"/>
                <w:color w:val="auto"/>
              </w:rPr>
            </w:pPr>
            <w:r>
              <w:rPr>
                <w:rFonts w:ascii="Arial" w:cs="Arial" w:eastAsia="Arial" w:hAnsi="Arial"/>
                <w:sz w:val="15"/>
                <w:szCs w:val="15"/>
                <w:color w:val="auto"/>
              </w:rPr>
              <w:t>3,639​​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0.06​​</w:t>
            </w:r>
          </w:p>
        </w:tc>
        <w:tc>
          <w:tcPr>
            <w:tcW w:w="0" w:type="dxa"/>
            <w:vAlign w:val="bottom"/>
          </w:tcPr>
          <w:p>
            <w:pPr>
              <w:spacing w:after="0"/>
              <w:rPr>
                <w:sz w:val="1"/>
                <w:szCs w:val="1"/>
                <w:color w:val="auto"/>
              </w:rPr>
            </w:pPr>
          </w:p>
        </w:tc>
      </w:tr>
      <w:tr>
        <w:trPr>
          <w:trHeight w:val="243"/>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4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80" w:type="dxa"/>
            <w:vAlign w:val="bottom"/>
          </w:tcPr>
          <w:p>
            <w:pPr>
              <w:jc w:val="right"/>
              <w:ind w:right="31"/>
              <w:spacing w:after="0"/>
              <w:rPr>
                <w:sz w:val="20"/>
                <w:szCs w:val="20"/>
                <w:color w:val="auto"/>
              </w:rPr>
            </w:pPr>
            <w:r>
              <w:rPr>
                <w:rFonts w:ascii="Arial" w:cs="Arial" w:eastAsia="Arial" w:hAnsi="Arial"/>
                <w:sz w:val="15"/>
                <w:szCs w:val="15"/>
                <w:color w:val="auto"/>
              </w:rPr>
              <w:t>​​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70"/>
              <w:spacing w:after="0"/>
              <w:rPr>
                <w:sz w:val="20"/>
                <w:szCs w:val="20"/>
                <w:color w:val="auto"/>
              </w:rPr>
            </w:pPr>
            <w:r>
              <w:rPr>
                <w:rFonts w:ascii="Arial" w:cs="Arial" w:eastAsia="Arial" w:hAnsi="Arial"/>
                <w:sz w:val="15"/>
                <w:szCs w:val="15"/>
                <w:color w:val="auto"/>
              </w:rPr>
              <w:t>​​ ​</w:t>
            </w:r>
          </w:p>
        </w:tc>
        <w:tc>
          <w:tcPr>
            <w:tcW w:w="200" w:type="dxa"/>
            <w:vAlign w:val="bottom"/>
          </w:tcPr>
          <w:p>
            <w:pPr>
              <w:ind w:left="120"/>
              <w:spacing w:after="0"/>
              <w:rPr>
                <w:sz w:val="20"/>
                <w:szCs w:val="20"/>
                <w:color w:val="auto"/>
              </w:rPr>
            </w:pPr>
            <w:r>
              <w:rPr>
                <w:rFonts w:ascii="Arial" w:cs="Arial" w:eastAsia="Arial" w:hAnsi="Arial"/>
                <w:sz w:val="15"/>
                <w:szCs w:val="15"/>
                <w:color w:val="auto"/>
              </w:rPr>
              <w:t>​</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 ​ 76,439​​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76,439​​</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​19,606​​</w:t>
            </w:r>
          </w:p>
        </w:tc>
        <w:tc>
          <w:tcPr>
            <w:tcW w:w="1100" w:type="dxa"/>
            <w:vAlign w:val="bottom"/>
            <w:gridSpan w:val="3"/>
          </w:tcPr>
          <w:p>
            <w:pPr>
              <w:jc w:val="right"/>
              <w:ind w:right="70"/>
              <w:spacing w:after="0"/>
              <w:rPr>
                <w:sz w:val="20"/>
                <w:szCs w:val="20"/>
                <w:color w:val="auto"/>
              </w:rPr>
            </w:pPr>
            <w:r>
              <w:rPr>
                <w:rFonts w:ascii="Arial" w:cs="Arial" w:eastAsia="Arial" w:hAnsi="Arial"/>
                <w:sz w:val="15"/>
                <w:szCs w:val="15"/>
                <w:color w:val="auto"/>
              </w:rPr>
              <w:t>​​ ​ 56,833​​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0.98​​</w:t>
            </w:r>
          </w:p>
        </w:tc>
        <w:tc>
          <w:tcPr>
            <w:tcW w:w="0" w:type="dxa"/>
            <w:vAlign w:val="bottom"/>
          </w:tcPr>
          <w:p>
            <w:pPr>
              <w:spacing w:after="0"/>
              <w:rPr>
                <w:sz w:val="1"/>
                <w:szCs w:val="1"/>
                <w:color w:val="auto"/>
              </w:rPr>
            </w:pPr>
          </w:p>
        </w:tc>
      </w:tr>
      <w:tr>
        <w:trPr>
          <w:trHeight w:val="446"/>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 ​ 59,600​​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59,600​​</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​15,286​​</w:t>
            </w:r>
          </w:p>
        </w:tc>
        <w:tc>
          <w:tcPr>
            <w:tcW w:w="1100" w:type="dxa"/>
            <w:vAlign w:val="bottom"/>
            <w:gridSpan w:val="3"/>
          </w:tcPr>
          <w:p>
            <w:pPr>
              <w:jc w:val="right"/>
              <w:ind w:right="70"/>
              <w:spacing w:after="0"/>
              <w:rPr>
                <w:sz w:val="20"/>
                <w:szCs w:val="20"/>
                <w:color w:val="auto"/>
              </w:rPr>
            </w:pPr>
            <w:r>
              <w:rPr>
                <w:rFonts w:ascii="Arial" w:cs="Arial" w:eastAsia="Arial" w:hAnsi="Arial"/>
                <w:sz w:val="15"/>
                <w:szCs w:val="15"/>
                <w:color w:val="auto"/>
              </w:rPr>
              <w:t>​​ ​ 44,314​​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0.76​​</w:t>
            </w:r>
          </w:p>
        </w:tc>
        <w:tc>
          <w:tcPr>
            <w:tcW w:w="0" w:type="dxa"/>
            <w:vAlign w:val="bottom"/>
          </w:tcPr>
          <w:p>
            <w:pPr>
              <w:spacing w:after="0"/>
              <w:rPr>
                <w:sz w:val="1"/>
                <w:szCs w:val="1"/>
                <w:color w:val="auto"/>
              </w:rPr>
            </w:pPr>
          </w:p>
        </w:tc>
      </w:tr>
      <w:tr>
        <w:trPr>
          <w:trHeight w:val="459"/>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4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 ​ 22,792​​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22,792​​</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 5,846​​</w:t>
            </w:r>
          </w:p>
        </w:tc>
        <w:tc>
          <w:tcPr>
            <w:tcW w:w="1100" w:type="dxa"/>
            <w:vAlign w:val="bottom"/>
            <w:gridSpan w:val="3"/>
          </w:tcPr>
          <w:p>
            <w:pPr>
              <w:jc w:val="right"/>
              <w:ind w:right="70"/>
              <w:spacing w:after="0"/>
              <w:rPr>
                <w:sz w:val="20"/>
                <w:szCs w:val="20"/>
                <w:color w:val="auto"/>
              </w:rPr>
            </w:pPr>
            <w:r>
              <w:rPr>
                <w:rFonts w:ascii="Arial" w:cs="Arial" w:eastAsia="Arial" w:hAnsi="Arial"/>
                <w:sz w:val="15"/>
                <w:szCs w:val="15"/>
                <w:color w:val="auto"/>
              </w:rPr>
              <w:t>​​ ​ 16,946​​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0.29​​</w:t>
            </w:r>
          </w:p>
        </w:tc>
        <w:tc>
          <w:tcPr>
            <w:tcW w:w="0" w:type="dxa"/>
            <w:vAlign w:val="bottom"/>
          </w:tcPr>
          <w:p>
            <w:pPr>
              <w:spacing w:after="0"/>
              <w:rPr>
                <w:sz w:val="1"/>
                <w:szCs w:val="1"/>
                <w:color w:val="auto"/>
              </w:rPr>
            </w:pPr>
          </w:p>
        </w:tc>
      </w:tr>
      <w:tr>
        <w:trPr>
          <w:trHeight w:val="270"/>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 ​ 19,997​​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19,997​​</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ind w:right="70"/>
              <w:spacing w:after="0"/>
              <w:rPr>
                <w:sz w:val="20"/>
                <w:szCs w:val="20"/>
                <w:color w:val="auto"/>
              </w:rPr>
            </w:pPr>
            <w:r>
              <w:rPr>
                <w:rFonts w:ascii="Arial" w:cs="Arial" w:eastAsia="Arial" w:hAnsi="Arial"/>
                <w:sz w:val="15"/>
                <w:szCs w:val="15"/>
                <w:color w:val="auto"/>
              </w:rPr>
              <w:t>​​ ​ 19,997​​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0.34​​</w:t>
            </w:r>
          </w:p>
        </w:tc>
        <w:tc>
          <w:tcPr>
            <w:tcW w:w="0" w:type="dxa"/>
            <w:vAlign w:val="bottom"/>
          </w:tcPr>
          <w:p>
            <w:pPr>
              <w:spacing w:after="0"/>
              <w:rPr>
                <w:sz w:val="1"/>
                <w:szCs w:val="1"/>
                <w:color w:val="auto"/>
              </w:rPr>
            </w:pPr>
          </w:p>
        </w:tc>
      </w:tr>
      <w:tr>
        <w:trPr>
          <w:trHeight w:val="445"/>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 ​ 14,313​​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14,313​​</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 2,424​​</w:t>
            </w:r>
          </w:p>
        </w:tc>
        <w:tc>
          <w:tcPr>
            <w:tcW w:w="1100" w:type="dxa"/>
            <w:vAlign w:val="bottom"/>
            <w:gridSpan w:val="3"/>
          </w:tcPr>
          <w:p>
            <w:pPr>
              <w:jc w:val="right"/>
              <w:ind w:right="70"/>
              <w:spacing w:after="0"/>
              <w:rPr>
                <w:sz w:val="20"/>
                <w:szCs w:val="20"/>
                <w:color w:val="auto"/>
              </w:rPr>
            </w:pPr>
            <w:r>
              <w:rPr>
                <w:rFonts w:ascii="Arial" w:cs="Arial" w:eastAsia="Arial" w:hAnsi="Arial"/>
                <w:sz w:val="15"/>
                <w:szCs w:val="15"/>
                <w:color w:val="auto"/>
              </w:rPr>
              <w:t>​​ ​ 11,889​​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0.20​​</w:t>
            </w:r>
          </w:p>
        </w:tc>
        <w:tc>
          <w:tcPr>
            <w:tcW w:w="0" w:type="dxa"/>
            <w:vAlign w:val="bottom"/>
          </w:tcPr>
          <w:p>
            <w:pPr>
              <w:spacing w:after="0"/>
              <w:rPr>
                <w:sz w:val="1"/>
                <w:szCs w:val="1"/>
                <w:color w:val="auto"/>
              </w:rPr>
            </w:pPr>
          </w:p>
        </w:tc>
      </w:tr>
      <w:tr>
        <w:trPr>
          <w:trHeight w:val="270"/>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 ​ 12,963​​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12,963​​</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 3,325​​</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70"/>
              <w:spacing w:after="0"/>
              <w:rPr>
                <w:sz w:val="20"/>
                <w:szCs w:val="20"/>
                <w:color w:val="auto"/>
              </w:rPr>
            </w:pPr>
            <w:r>
              <w:rPr>
                <w:rFonts w:ascii="Arial" w:cs="Arial" w:eastAsia="Arial" w:hAnsi="Arial"/>
                <w:sz w:val="15"/>
                <w:szCs w:val="15"/>
                <w:color w:val="auto"/>
              </w:rPr>
              <w:t>9,638​​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0.16​​</w:t>
            </w:r>
          </w:p>
        </w:tc>
        <w:tc>
          <w:tcPr>
            <w:tcW w:w="0" w:type="dxa"/>
            <w:vAlign w:val="bottom"/>
          </w:tcPr>
          <w:p>
            <w:pPr>
              <w:spacing w:after="0"/>
              <w:rPr>
                <w:sz w:val="1"/>
                <w:szCs w:val="1"/>
                <w:color w:val="auto"/>
              </w:rPr>
            </w:pPr>
          </w:p>
        </w:tc>
      </w:tr>
      <w:tr>
        <w:trPr>
          <w:trHeight w:val="243"/>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80" w:type="dxa"/>
            <w:vAlign w:val="bottom"/>
          </w:tcPr>
          <w:p>
            <w:pPr>
              <w:jc w:val="right"/>
              <w:ind w:right="31"/>
              <w:spacing w:after="0"/>
              <w:rPr>
                <w:sz w:val="20"/>
                <w:szCs w:val="20"/>
                <w:color w:val="auto"/>
              </w:rPr>
            </w:pPr>
            <w:r>
              <w:rPr>
                <w:rFonts w:ascii="Arial" w:cs="Arial" w:eastAsia="Arial" w:hAnsi="Arial"/>
                <w:sz w:val="15"/>
                <w:szCs w:val="15"/>
                <w:color w:val="auto"/>
              </w:rPr>
              <w:t>6,685​​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600" w:type="dxa"/>
            <w:vAlign w:val="bottom"/>
          </w:tcPr>
          <w:p>
            <w:pPr>
              <w:jc w:val="right"/>
              <w:spacing w:after="0"/>
              <w:rPr>
                <w:sz w:val="20"/>
                <w:szCs w:val="20"/>
                <w:color w:val="auto"/>
              </w:rPr>
            </w:pPr>
            <w:r>
              <w:rPr>
                <w:rFonts w:ascii="Arial" w:cs="Arial" w:eastAsia="Arial" w:hAnsi="Arial"/>
                <w:sz w:val="15"/>
                <w:szCs w:val="15"/>
                <w:color w:val="auto"/>
              </w:rPr>
              <w:t>6,685​​</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500" w:type="dxa"/>
            <w:vAlign w:val="bottom"/>
          </w:tcPr>
          <w:p>
            <w:pPr>
              <w:jc w:val="right"/>
              <w:spacing w:after="0"/>
              <w:rPr>
                <w:sz w:val="20"/>
                <w:szCs w:val="20"/>
                <w:color w:val="auto"/>
              </w:rPr>
            </w:pPr>
            <w:r>
              <w:rPr>
                <w:rFonts w:ascii="Arial" w:cs="Arial" w:eastAsia="Arial" w:hAnsi="Arial"/>
                <w:sz w:val="15"/>
                <w:szCs w:val="15"/>
                <w:color w:val="auto"/>
              </w:rPr>
              <w:t>758​​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70"/>
              <w:spacing w:after="0"/>
              <w:rPr>
                <w:sz w:val="20"/>
                <w:szCs w:val="20"/>
                <w:color w:val="auto"/>
              </w:rPr>
            </w:pPr>
            <w:r>
              <w:rPr>
                <w:rFonts w:ascii="Arial" w:cs="Arial" w:eastAsia="Arial" w:hAnsi="Arial"/>
                <w:sz w:val="15"/>
                <w:szCs w:val="15"/>
                <w:color w:val="auto"/>
              </w:rPr>
              <w:t>5,927​​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0.10​​</w:t>
            </w:r>
          </w:p>
        </w:tc>
        <w:tc>
          <w:tcPr>
            <w:tcW w:w="0" w:type="dxa"/>
            <w:vAlign w:val="bottom"/>
          </w:tcPr>
          <w:p>
            <w:pPr>
              <w:spacing w:after="0"/>
              <w:rPr>
                <w:sz w:val="1"/>
                <w:szCs w:val="1"/>
                <w:color w:val="auto"/>
              </w:rPr>
            </w:pPr>
          </w:p>
        </w:tc>
      </w:tr>
      <w:tr>
        <w:trPr>
          <w:trHeight w:val="257"/>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80" w:type="dxa"/>
            <w:vAlign w:val="bottom"/>
          </w:tcPr>
          <w:p>
            <w:pPr>
              <w:jc w:val="right"/>
              <w:ind w:right="31"/>
              <w:spacing w:after="0"/>
              <w:rPr>
                <w:sz w:val="20"/>
                <w:szCs w:val="20"/>
                <w:color w:val="auto"/>
              </w:rPr>
            </w:pPr>
            <w:r>
              <w:rPr>
                <w:rFonts w:ascii="Arial" w:cs="Arial" w:eastAsia="Arial" w:hAnsi="Arial"/>
                <w:sz w:val="15"/>
                <w:szCs w:val="15"/>
                <w:color w:val="auto"/>
              </w:rPr>
              <w:t>1,599​​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600" w:type="dxa"/>
            <w:vAlign w:val="bottom"/>
          </w:tcPr>
          <w:p>
            <w:pPr>
              <w:jc w:val="right"/>
              <w:spacing w:after="0"/>
              <w:rPr>
                <w:sz w:val="20"/>
                <w:szCs w:val="20"/>
                <w:color w:val="auto"/>
              </w:rPr>
            </w:pPr>
            <w:r>
              <w:rPr>
                <w:rFonts w:ascii="Arial" w:cs="Arial" w:eastAsia="Arial" w:hAnsi="Arial"/>
                <w:sz w:val="15"/>
                <w:szCs w:val="15"/>
                <w:color w:val="auto"/>
              </w:rPr>
              <w:t>1,599​​</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500" w:type="dxa"/>
            <w:vAlign w:val="bottom"/>
          </w:tcPr>
          <w:p>
            <w:pPr>
              <w:jc w:val="right"/>
              <w:spacing w:after="0"/>
              <w:rPr>
                <w:sz w:val="20"/>
                <w:szCs w:val="20"/>
                <w:color w:val="auto"/>
              </w:rPr>
            </w:pPr>
            <w:r>
              <w:rPr>
                <w:rFonts w:ascii="Arial" w:cs="Arial" w:eastAsia="Arial" w:hAnsi="Arial"/>
                <w:sz w:val="15"/>
                <w:szCs w:val="15"/>
                <w:color w:val="auto"/>
              </w:rPr>
              <w:t>410​​</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70"/>
              <w:spacing w:after="0"/>
              <w:rPr>
                <w:sz w:val="20"/>
                <w:szCs w:val="20"/>
                <w:color w:val="auto"/>
              </w:rPr>
            </w:pPr>
            <w:r>
              <w:rPr>
                <w:rFonts w:ascii="Arial" w:cs="Arial" w:eastAsia="Arial" w:hAnsi="Arial"/>
                <w:sz w:val="15"/>
                <w:szCs w:val="15"/>
                <w:color w:val="auto"/>
              </w:rPr>
              <w:t>1,189​​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 0.02​​</w:t>
            </w:r>
          </w:p>
        </w:tc>
        <w:tc>
          <w:tcPr>
            <w:tcW w:w="0" w:type="dxa"/>
            <w:vAlign w:val="bottom"/>
          </w:tcPr>
          <w:p>
            <w:pPr>
              <w:spacing w:after="0"/>
              <w:rPr>
                <w:sz w:val="1"/>
                <w:szCs w:val="1"/>
                <w:color w:val="auto"/>
              </w:rPr>
            </w:pPr>
          </w:p>
        </w:tc>
      </w:tr>
      <w:tr>
        <w:trPr>
          <w:trHeight w:val="168"/>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ind w:right="184"/>
              <w:spacing w:after="0" w:line="168" w:lineRule="exact"/>
              <w:rPr>
                <w:sz w:val="20"/>
                <w:szCs w:val="20"/>
                <w:color w:val="auto"/>
              </w:rPr>
            </w:pPr>
            <w:r>
              <w:rPr>
                <w:rFonts w:ascii="Arial" w:cs="Arial" w:eastAsia="Arial" w:hAnsi="Arial"/>
                <w:sz w:val="15"/>
                <w:szCs w:val="15"/>
                <w:color w:val="auto"/>
              </w:rPr>
              <w:t>​</w:t>
            </w:r>
          </w:p>
        </w:tc>
        <w:tc>
          <w:tcPr>
            <w:tcW w:w="400" w:type="dxa"/>
            <w:vAlign w:val="bottom"/>
          </w:tcPr>
          <w:p>
            <w:pPr>
              <w:ind w:left="240"/>
              <w:spacing w:after="0" w:line="168" w:lineRule="exact"/>
              <w:rPr>
                <w:sz w:val="20"/>
                <w:szCs w:val="20"/>
                <w:color w:val="auto"/>
              </w:rPr>
            </w:pPr>
            <w:r>
              <w:rPr>
                <w:rFonts w:ascii="Arial" w:cs="Arial" w:eastAsia="Arial" w:hAnsi="Arial"/>
                <w:sz w:val="15"/>
                <w:szCs w:val="15"/>
                <w:color w:val="auto"/>
                <w:w w:val="93"/>
              </w:rPr>
              <w:t>—</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91"/>
              <w:spacing w:after="0" w:line="168" w:lineRule="exact"/>
              <w:rPr>
                <w:sz w:val="20"/>
                <w:szCs w:val="20"/>
                <w:color w:val="auto"/>
              </w:rPr>
            </w:pPr>
            <w:r>
              <w:rPr>
                <w:rFonts w:ascii="Arial" w:cs="Arial" w:eastAsia="Arial" w:hAnsi="Arial"/>
                <w:sz w:val="15"/>
                <w:szCs w:val="15"/>
                <w:color w:val="auto"/>
              </w:rPr>
              <w:t>(2,167)</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11"/>
              <w:spacing w:after="0" w:line="168" w:lineRule="exact"/>
              <w:rPr>
                <w:sz w:val="20"/>
                <w:szCs w:val="20"/>
                <w:color w:val="auto"/>
              </w:rPr>
            </w:pPr>
            <w:r>
              <w:rPr>
                <w:rFonts w:ascii="Arial" w:cs="Arial" w:eastAsia="Arial" w:hAnsi="Arial"/>
                <w:sz w:val="15"/>
                <w:szCs w:val="15"/>
                <w:color w:val="auto"/>
              </w:rPr>
              <w:t>(2,167)</w:t>
            </w:r>
          </w:p>
        </w:tc>
        <w:tc>
          <w:tcPr>
            <w:tcW w:w="20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11"/>
              <w:spacing w:after="0" w:line="168" w:lineRule="exact"/>
              <w:rPr>
                <w:sz w:val="20"/>
                <w:szCs w:val="20"/>
                <w:color w:val="auto"/>
              </w:rPr>
            </w:pPr>
            <w:r>
              <w:rPr>
                <w:rFonts w:ascii="Arial" w:cs="Arial" w:eastAsia="Arial" w:hAnsi="Arial"/>
                <w:sz w:val="15"/>
                <w:szCs w:val="15"/>
                <w:color w:val="auto"/>
              </w:rPr>
              <w:t>(556)</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30"/>
              <w:spacing w:after="0" w:line="168" w:lineRule="exact"/>
              <w:rPr>
                <w:sz w:val="20"/>
                <w:szCs w:val="20"/>
                <w:color w:val="auto"/>
              </w:rPr>
            </w:pPr>
            <w:r>
              <w:rPr>
                <w:rFonts w:ascii="Arial" w:cs="Arial" w:eastAsia="Arial" w:hAnsi="Arial"/>
                <w:sz w:val="15"/>
                <w:szCs w:val="15"/>
                <w:color w:val="auto"/>
              </w:rPr>
              <w:t>(1,611)</w:t>
            </w:r>
          </w:p>
        </w:tc>
        <w:tc>
          <w:tcPr>
            <w:tcW w:w="20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68"/>
        </w:trPr>
        <w:tc>
          <w:tcPr>
            <w:tcW w:w="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jc w:val="right"/>
              <w:ind w:right="31"/>
              <w:spacing w:after="0" w:line="68" w:lineRule="exact"/>
              <w:rPr>
                <w:sz w:val="20"/>
                <w:szCs w:val="20"/>
                <w:color w:val="auto"/>
              </w:rPr>
            </w:pPr>
            <w:r>
              <w:rPr>
                <w:rFonts w:ascii="Arial" w:cs="Arial" w:eastAsia="Arial" w:hAnsi="Arial"/>
                <w:sz w:val="7"/>
                <w:szCs w:val="7"/>
                <w:color w:val="auto"/>
              </w:rPr>
              <w:t>​​ ​</w:t>
            </w: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jc w:val="right"/>
              <w:ind w:right="70"/>
              <w:spacing w:after="0" w:line="68" w:lineRule="exact"/>
              <w:rPr>
                <w:sz w:val="20"/>
                <w:szCs w:val="20"/>
                <w:color w:val="auto"/>
              </w:rPr>
            </w:pPr>
            <w:r>
              <w:rPr>
                <w:rFonts w:ascii="Arial" w:cs="Arial" w:eastAsia="Arial" w:hAnsi="Arial"/>
                <w:sz w:val="7"/>
                <w:szCs w:val="7"/>
                <w:color w:val="auto"/>
              </w:rPr>
              <w:t>​​ ​</w:t>
            </w: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80" w:type="dxa"/>
            <w:vAlign w:val="bottom"/>
            <w:gridSpan w:val="5"/>
          </w:tcPr>
          <w:p>
            <w:pPr>
              <w:jc w:val="right"/>
              <w:spacing w:after="0"/>
              <w:rPr>
                <w:sz w:val="20"/>
                <w:szCs w:val="20"/>
                <w:color w:val="auto"/>
              </w:rPr>
            </w:pPr>
            <w:r>
              <w:rPr>
                <w:rFonts w:ascii="Arial" w:cs="Arial" w:eastAsia="Arial" w:hAnsi="Arial"/>
                <w:sz w:val="15"/>
                <w:szCs w:val="15"/>
                <w:color w:val="auto"/>
              </w:rPr>
              <w:t>​ ​​$2,271,709​​ ​</w:t>
            </w:r>
          </w:p>
        </w:tc>
        <w:tc>
          <w:tcPr>
            <w:tcW w:w="1000" w:type="dxa"/>
            <w:vAlign w:val="bottom"/>
            <w:gridSpan w:val="3"/>
          </w:tcPr>
          <w:p>
            <w:pPr>
              <w:jc w:val="right"/>
              <w:ind w:right="31"/>
              <w:spacing w:after="0"/>
              <w:rPr>
                <w:sz w:val="20"/>
                <w:szCs w:val="20"/>
                <w:color w:val="auto"/>
              </w:rPr>
            </w:pPr>
            <w:r>
              <w:rPr>
                <w:rFonts w:ascii="Arial" w:cs="Arial" w:eastAsia="Arial" w:hAnsi="Arial"/>
                <w:sz w:val="15"/>
                <w:szCs w:val="15"/>
                <w:color w:val="auto"/>
              </w:rPr>
              <w:t>​$435,568​​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​$325,206​​</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​$ 83,203​​</w:t>
            </w:r>
          </w:p>
        </w:tc>
        <w:tc>
          <w:tcPr>
            <w:tcW w:w="1100" w:type="dxa"/>
            <w:vAlign w:val="bottom"/>
            <w:gridSpan w:val="3"/>
          </w:tcPr>
          <w:p>
            <w:pPr>
              <w:jc w:val="right"/>
              <w:ind w:right="70"/>
              <w:spacing w:after="0"/>
              <w:rPr>
                <w:sz w:val="20"/>
                <w:szCs w:val="20"/>
                <w:color w:val="auto"/>
              </w:rPr>
            </w:pPr>
            <w:r>
              <w:rPr>
                <w:rFonts w:ascii="Arial" w:cs="Arial" w:eastAsia="Arial" w:hAnsi="Arial"/>
                <w:sz w:val="15"/>
                <w:szCs w:val="15"/>
                <w:color w:val="auto"/>
              </w:rPr>
              <w:t>​​$242,003​​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​$ 4.13​​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-2164080</wp:posOffset>
            </wp:positionV>
            <wp:extent cx="5837555"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-1855470</wp:posOffset>
            </wp:positionV>
            <wp:extent cx="5837555" cy="291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37555" cy="29146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-1272540</wp:posOffset>
            </wp:positionV>
            <wp:extent cx="5837555"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-818515</wp:posOffset>
            </wp:positionV>
            <wp:extent cx="5837555"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-501015</wp:posOffset>
            </wp:positionV>
            <wp:extent cx="583755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-175895</wp:posOffset>
            </wp:positionV>
            <wp:extent cx="583755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3860" w:space="400"/>
            <w:col w:w="5700"/>
          </w:cols>
          <w:pgMar w:left="580" w:top="97" w:right="1359" w:bottom="1440" w:gutter="0" w:footer="0" w:header="0"/>
          <w:type w:val="continuous"/>
        </w:sectPr>
      </w:pPr>
    </w:p>
    <w:p>
      <w:pPr>
        <w:ind w:left="1120" w:hanging="358"/>
        <w:spacing w:after="0"/>
        <w:tabs>
          <w:tab w:leader="none" w:pos="112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Special items are reported as Other Gains and Charges in the Company’s Consolidated Statements of Operations.</w:t>
      </w:r>
    </w:p>
    <w:p>
      <w:pPr>
        <w:spacing w:after="0" w:line="26" w:lineRule="exact"/>
        <w:rPr>
          <w:rFonts w:ascii="Arial" w:cs="Arial" w:eastAsia="Arial" w:hAnsi="Arial"/>
          <w:sz w:val="14"/>
          <w:szCs w:val="14"/>
          <w:i w:val="1"/>
          <w:iCs w:val="1"/>
          <w:color w:val="auto"/>
        </w:rPr>
      </w:pPr>
    </w:p>
    <w:p>
      <w:pPr>
        <w:jc w:val="both"/>
        <w:ind w:left="1120" w:hanging="358"/>
        <w:spacing w:after="0" w:line="275" w:lineRule="auto"/>
        <w:tabs>
          <w:tab w:leader="none" w:pos="112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expenses of  $70.3 million related to estimated legal accruals and $6.1 million in litigation and defense expenses for a regulatory lawsuit with the Consumer Financial Protection Bureau (which was previously dismissed with prejudice) and our current regulatory lawsuit with the New York Attorney General, as well as the Multi-State Attorneys’ General regulatory investigation and a recently settled patent infringement lawsuit.</w:t>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A-2</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4340"/>
        <w:spacing w:after="0" w:line="296" w:lineRule="auto"/>
        <w:rPr>
          <w:sz w:val="20"/>
          <w:szCs w:val="20"/>
          <w:color w:val="auto"/>
        </w:rPr>
      </w:pPr>
      <w:r>
        <w:rPr>
          <w:rFonts w:ascii="Arial" w:cs="Arial" w:eastAsia="Arial" w:hAnsi="Arial"/>
          <w:sz w:val="16"/>
          <w:szCs w:val="16"/>
          <w:b w:val="1"/>
          <w:bCs w:val="1"/>
          <w:color w:val="auto"/>
        </w:rPr>
        <w:t>ANNEX A: RECONCILIATION OF GAAP MEASURES TO NON-GAAP MEASURES​ ​</w:t>
      </w:r>
    </w:p>
    <w:p>
      <w:pPr>
        <w:spacing w:after="0" w:line="107" w:lineRule="exact"/>
        <w:rPr>
          <w:sz w:val="20"/>
          <w:szCs w:val="20"/>
          <w:color w:val="auto"/>
        </w:rPr>
      </w:pPr>
    </w:p>
    <w:p>
      <w:pPr>
        <w:ind w:left="1120" w:right="60" w:hanging="358"/>
        <w:spacing w:after="0" w:line="270" w:lineRule="auto"/>
        <w:tabs>
          <w:tab w:leader="none" w:pos="11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of approximately $43.7 million related to the total fair value of acquired intangible assets and incremental depreciation of approximately $15.9 million.</w:t>
      </w:r>
    </w:p>
    <w:p>
      <w:pPr>
        <w:ind w:left="1120" w:right="40" w:hanging="358"/>
        <w:spacing w:after="0" w:line="271" w:lineRule="auto"/>
        <w:tabs>
          <w:tab w:leader="none" w:pos="11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expense of approximately $14.3 million related to the total fair value of acquired intangible assets and incremental depreciation expense of approximately $8.5 million related to the fair value of acquired software assets.</w:t>
      </w:r>
    </w:p>
    <w:p>
      <w:pPr>
        <w:ind w:left="1120" w:right="60" w:hanging="358"/>
        <w:spacing w:after="0" w:line="262" w:lineRule="auto"/>
        <w:tabs>
          <w:tab w:leader="none" w:pos="11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stock compensation expense related to common stock issued to Brigit employees under restricted stock agreements as part of the acquisition proceeds subject to vesting restrictions.</w:t>
      </w:r>
    </w:p>
    <w:p>
      <w:pPr>
        <w:ind w:left="1120" w:hanging="358"/>
        <w:spacing w:after="0"/>
        <w:tabs>
          <w:tab w:leader="none" w:pos="11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expense for Brigit replacement awards and other compensation related to the Brigit acquisition.</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 impairments of approximately $12.4 million and fixed assets impairments of approximately $0.6 million.</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accelerated stock compensation expense related to our letter agreement with the Company’s former Chief Executive Officer.</w:t>
      </w:r>
    </w:p>
    <w:p>
      <w:pPr>
        <w:spacing w:after="0" w:line="16" w:lineRule="exact"/>
        <w:rPr>
          <w:rFonts w:ascii="Arial" w:cs="Arial" w:eastAsia="Arial" w:hAnsi="Arial"/>
          <w:sz w:val="14"/>
          <w:szCs w:val="14"/>
          <w:i w:val="1"/>
          <w:iCs w:val="1"/>
          <w:color w:val="auto"/>
        </w:rPr>
      </w:pPr>
    </w:p>
    <w:p>
      <w:pPr>
        <w:ind w:left="1120" w:right="40" w:hanging="358"/>
        <w:spacing w:after="0" w:line="302" w:lineRule="auto"/>
        <w:tabs>
          <w:tab w:leader="none" w:pos="11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includes interest income on tax refunds for prior years received in 2025 and shutdown and holding costs related to store closures and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90170</wp:posOffset>
            </wp:positionV>
            <wp:extent cx="5837555" cy="7112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37555" cy="711200"/>
                    </a:xfrm>
                    <a:prstGeom prst="rect">
                      <a:avLst/>
                    </a:prstGeom>
                    <a:noFill/>
                  </pic:spPr>
                </pic:pic>
              </a:graphicData>
            </a:graphic>
          </wp:anchor>
        </w:drawing>
      </w:r>
    </w:p>
    <w:p>
      <w:pPr>
        <w:spacing w:after="0" w:line="143"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180" w:type="dxa"/>
            <w:vAlign w:val="bottom"/>
          </w:tcPr>
          <w:p>
            <w:pPr>
              <w:spacing w:after="0"/>
              <w:rPr>
                <w:sz w:val="20"/>
                <w:szCs w:val="20"/>
                <w:color w:val="auto"/>
              </w:rPr>
            </w:pPr>
            <w:r>
              <w:rPr>
                <w:rFonts w:ascii="Arial" w:cs="Arial" w:eastAsia="Arial" w:hAnsi="Arial"/>
                <w:sz w:val="15"/>
                <w:szCs w:val="15"/>
                <w:b w:val="1"/>
                <w:bCs w:val="1"/>
                <w:color w:val="auto"/>
              </w:rPr>
              <w:t>​ ​</w:t>
            </w:r>
          </w:p>
        </w:tc>
        <w:tc>
          <w:tcPr>
            <w:tcW w:w="1240" w:type="dxa"/>
            <w:vAlign w:val="bottom"/>
            <w:gridSpan w:val="2"/>
          </w:tcPr>
          <w:p>
            <w:pPr>
              <w:ind w:left="1040"/>
              <w:spacing w:after="0"/>
              <w:rPr>
                <w:sz w:val="20"/>
                <w:szCs w:val="20"/>
                <w:color w:val="auto"/>
              </w:rPr>
            </w:pPr>
            <w:r>
              <w:rPr>
                <w:rFonts w:ascii="Arial" w:cs="Arial" w:eastAsia="Arial" w:hAnsi="Arial"/>
                <w:sz w:val="15"/>
                <w:szCs w:val="15"/>
                <w:b w:val="1"/>
                <w:bCs w:val="1"/>
                <w:color w:val="auto"/>
              </w:rPr>
              <w:t>​ ​</w:t>
            </w:r>
          </w:p>
        </w:tc>
        <w:tc>
          <w:tcPr>
            <w:tcW w:w="7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2"/>
          </w:tcPr>
          <w:p>
            <w:pPr>
              <w:ind w:left="980"/>
              <w:spacing w:after="0"/>
              <w:rPr>
                <w:sz w:val="20"/>
                <w:szCs w:val="20"/>
                <w:color w:val="auto"/>
              </w:rPr>
            </w:pPr>
            <w:r>
              <w:rPr>
                <w:rFonts w:ascii="Arial" w:cs="Arial" w:eastAsia="Arial" w:hAnsi="Arial"/>
                <w:sz w:val="15"/>
                <w:szCs w:val="15"/>
                <w:b w:val="1"/>
                <w:bCs w:val="1"/>
                <w:color w:val="auto"/>
              </w:rPr>
              <w:t>Year Ended December 31, 2024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04"/>
        </w:trPr>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80" w:type="dxa"/>
            <w:vAlign w:val="bottom"/>
          </w:tcPr>
          <w:p>
            <w:pPr>
              <w:jc w:val="center"/>
              <w:ind w:right="1124"/>
              <w:spacing w:after="0"/>
              <w:rPr>
                <w:sz w:val="20"/>
                <w:szCs w:val="20"/>
                <w:color w:val="auto"/>
              </w:rPr>
            </w:pPr>
            <w:r>
              <w:rPr>
                <w:rFonts w:ascii="Arial" w:cs="Arial" w:eastAsia="Arial" w:hAnsi="Arial"/>
                <w:sz w:val="15"/>
                <w:szCs w:val="15"/>
                <w:b w:val="1"/>
                <w:bCs w:val="1"/>
                <w:color w:val="auto"/>
              </w:rPr>
              <w:t>Earnings</w:t>
            </w:r>
          </w:p>
        </w:tc>
        <w:tc>
          <w:tcPr>
            <w:tcW w:w="640" w:type="dxa"/>
            <w:vAlign w:val="bottom"/>
          </w:tcPr>
          <w:p>
            <w:pPr>
              <w:spacing w:after="0"/>
              <w:rPr>
                <w:sz w:val="17"/>
                <w:szCs w:val="17"/>
                <w:color w:val="auto"/>
              </w:rPr>
            </w:pPr>
          </w:p>
        </w:tc>
        <w:tc>
          <w:tcPr>
            <w:tcW w:w="1020" w:type="dxa"/>
            <w:vAlign w:val="bottom"/>
            <w:gridSpan w:val="2"/>
          </w:tcPr>
          <w:p>
            <w:pPr>
              <w:jc w:val="center"/>
              <w:ind w:left="4"/>
              <w:spacing w:after="0"/>
              <w:rPr>
                <w:sz w:val="20"/>
                <w:szCs w:val="20"/>
                <w:color w:val="auto"/>
              </w:rPr>
            </w:pPr>
            <w:r>
              <w:rPr>
                <w:rFonts w:ascii="Arial" w:cs="Arial" w:eastAsia="Arial" w:hAnsi="Arial"/>
                <w:sz w:val="15"/>
                <w:szCs w:val="15"/>
                <w:b w:val="1"/>
                <w:bCs w:val="1"/>
                <w:color w:val="auto"/>
                <w:w w:val="98"/>
              </w:rPr>
              <w:t>Diluted</w:t>
            </w:r>
          </w:p>
        </w:tc>
      </w:tr>
      <w:tr>
        <w:trPr>
          <w:trHeight w:val="189"/>
        </w:trPr>
        <w:tc>
          <w:tcPr>
            <w:tcW w:w="2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b w:val="1"/>
                <w:bCs w:val="1"/>
                <w:color w:val="auto"/>
              </w:rPr>
              <w:t>Gross</w:t>
            </w:r>
          </w:p>
        </w:tc>
        <w:tc>
          <w:tcPr>
            <w:tcW w:w="1020" w:type="dxa"/>
            <w:vAlign w:val="bottom"/>
          </w:tcPr>
          <w:p>
            <w:pPr>
              <w:ind w:left="280"/>
              <w:spacing w:after="0"/>
              <w:rPr>
                <w:sz w:val="20"/>
                <w:szCs w:val="20"/>
                <w:color w:val="auto"/>
              </w:rPr>
            </w:pPr>
            <w:r>
              <w:rPr>
                <w:rFonts w:ascii="Arial" w:cs="Arial" w:eastAsia="Arial" w:hAnsi="Arial"/>
                <w:sz w:val="15"/>
                <w:szCs w:val="15"/>
                <w:b w:val="1"/>
                <w:bCs w:val="1"/>
                <w:color w:val="auto"/>
              </w:rPr>
              <w:t>Operating</w:t>
            </w:r>
          </w:p>
        </w:tc>
        <w:tc>
          <w:tcPr>
            <w:tcW w:w="2380" w:type="dxa"/>
            <w:vAlign w:val="bottom"/>
          </w:tcPr>
          <w:p>
            <w:pPr>
              <w:jc w:val="center"/>
              <w:ind w:right="1104"/>
              <w:spacing w:after="0"/>
              <w:rPr>
                <w:sz w:val="20"/>
                <w:szCs w:val="20"/>
                <w:color w:val="auto"/>
              </w:rPr>
            </w:pPr>
            <w:r>
              <w:rPr>
                <w:rFonts w:ascii="Arial" w:cs="Arial" w:eastAsia="Arial" w:hAnsi="Arial"/>
                <w:sz w:val="15"/>
                <w:szCs w:val="15"/>
                <w:b w:val="1"/>
                <w:bCs w:val="1"/>
                <w:color w:val="auto"/>
              </w:rPr>
              <w:t>Before</w:t>
            </w:r>
          </w:p>
        </w:tc>
        <w:tc>
          <w:tcPr>
            <w:tcW w:w="640" w:type="dxa"/>
            <w:vAlign w:val="bottom"/>
          </w:tcPr>
          <w:p>
            <w:pPr>
              <w:ind w:left="160"/>
              <w:spacing w:after="0"/>
              <w:rPr>
                <w:sz w:val="20"/>
                <w:szCs w:val="20"/>
                <w:color w:val="auto"/>
              </w:rPr>
            </w:pPr>
            <w:r>
              <w:rPr>
                <w:rFonts w:ascii="Arial" w:cs="Arial" w:eastAsia="Arial" w:hAnsi="Arial"/>
                <w:sz w:val="15"/>
                <w:szCs w:val="15"/>
                <w:b w:val="1"/>
                <w:bCs w:val="1"/>
                <w:color w:val="auto"/>
              </w:rPr>
              <w:t>Net</w:t>
            </w:r>
          </w:p>
        </w:tc>
        <w:tc>
          <w:tcPr>
            <w:tcW w:w="1020" w:type="dxa"/>
            <w:vAlign w:val="bottom"/>
            <w:gridSpan w:val="2"/>
          </w:tcPr>
          <w:p>
            <w:pPr>
              <w:jc w:val="center"/>
              <w:ind w:left="4"/>
              <w:spacing w:after="0"/>
              <w:rPr>
                <w:sz w:val="20"/>
                <w:szCs w:val="20"/>
                <w:color w:val="auto"/>
              </w:rPr>
            </w:pPr>
            <w:r>
              <w:rPr>
                <w:rFonts w:ascii="Arial" w:cs="Arial" w:eastAsia="Arial" w:hAnsi="Arial"/>
                <w:sz w:val="15"/>
                <w:szCs w:val="15"/>
                <w:b w:val="1"/>
                <w:bCs w:val="1"/>
                <w:color w:val="auto"/>
              </w:rPr>
              <w:t>Earnings</w:t>
            </w:r>
          </w:p>
        </w:tc>
      </w:tr>
      <w:tr>
        <w:trPr>
          <w:trHeight w:val="222"/>
        </w:trPr>
        <w:tc>
          <w:tcPr>
            <w:tcW w:w="2180" w:type="dxa"/>
            <w:vAlign w:val="bottom"/>
          </w:tcPr>
          <w:p>
            <w:pPr>
              <w:ind w:left="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 thousands)</w:t>
            </w:r>
          </w:p>
        </w:tc>
        <w:tc>
          <w:tcPr>
            <w:tcW w:w="1960" w:type="dxa"/>
            <w:vAlign w:val="bottom"/>
            <w:gridSpan w:val="3"/>
          </w:tcPr>
          <w:p>
            <w:pPr>
              <w:jc w:val="right"/>
              <w:ind w:right="44"/>
              <w:spacing w:after="0"/>
              <w:rPr>
                <w:sz w:val="20"/>
                <w:szCs w:val="20"/>
                <w:color w:val="auto"/>
              </w:rPr>
            </w:pPr>
            <w:r>
              <w:rPr>
                <w:rFonts w:ascii="Arial" w:cs="Arial" w:eastAsia="Arial" w:hAnsi="Arial"/>
                <w:sz w:val="15"/>
                <w:szCs w:val="15"/>
                <w:b w:val="1"/>
                <w:bCs w:val="1"/>
                <w:color w:val="auto"/>
              </w:rPr>
              <w:t>​ ​   Profit</w:t>
            </w:r>
          </w:p>
        </w:tc>
        <w:tc>
          <w:tcPr>
            <w:tcW w:w="1020" w:type="dxa"/>
            <w:vAlign w:val="bottom"/>
          </w:tcPr>
          <w:p>
            <w:pPr>
              <w:ind w:left="120"/>
              <w:spacing w:after="0"/>
              <w:rPr>
                <w:sz w:val="20"/>
                <w:szCs w:val="20"/>
                <w:color w:val="auto"/>
              </w:rPr>
            </w:pPr>
            <w:r>
              <w:rPr>
                <w:rFonts w:ascii="Arial" w:cs="Arial" w:eastAsia="Arial" w:hAnsi="Arial"/>
                <w:sz w:val="15"/>
                <w:szCs w:val="15"/>
                <w:b w:val="1"/>
                <w:bCs w:val="1"/>
                <w:color w:val="auto"/>
              </w:rPr>
              <w:t>​ ​  Profit</w:t>
            </w:r>
          </w:p>
        </w:tc>
        <w:tc>
          <w:tcPr>
            <w:tcW w:w="4040" w:type="dxa"/>
            <w:vAlign w:val="bottom"/>
            <w:gridSpan w:val="4"/>
          </w:tcPr>
          <w:p>
            <w:pPr>
              <w:ind w:left="40"/>
              <w:spacing w:after="0"/>
              <w:rPr>
                <w:sz w:val="20"/>
                <w:szCs w:val="20"/>
                <w:color w:val="auto"/>
              </w:rPr>
            </w:pPr>
            <w:r>
              <w:rPr>
                <w:rFonts w:ascii="Arial" w:cs="Arial" w:eastAsia="Arial" w:hAnsi="Arial"/>
                <w:sz w:val="15"/>
                <w:szCs w:val="15"/>
                <w:b w:val="1"/>
                <w:bCs w:val="1"/>
                <w:color w:val="auto"/>
              </w:rPr>
              <w:t>​ ​Income Tax ​ ​Tax Expense ​ ​Earnings ​ ​per Share ​</w:t>
            </w:r>
          </w:p>
        </w:tc>
      </w:tr>
      <w:tr>
        <w:trPr>
          <w:trHeight w:val="20"/>
        </w:trPr>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3" w:lineRule="exact"/>
        <w:rPr>
          <w:sz w:val="20"/>
          <w:szCs w:val="20"/>
          <w:color w:val="auto"/>
        </w:rPr>
      </w:pPr>
    </w:p>
    <w:p>
      <w:pPr>
        <w:sectPr>
          <w:pgSz w:w="11900" w:h="16838" w:orient="portrait"/>
          <w:cols w:equalWidth="0" w:num="1">
            <w:col w:w="10000"/>
          </w:cols>
          <w:pgMar w:left="580" w:top="97" w:right="1319" w:bottom="1440" w:gutter="0" w:footer="0" w:header="0"/>
        </w:sectPr>
      </w:pPr>
    </w:p>
    <w:p>
      <w:pPr>
        <w:ind w:left="800"/>
        <w:spacing w:after="0"/>
        <w:rPr>
          <w:sz w:val="20"/>
          <w:szCs w:val="20"/>
          <w:color w:val="auto"/>
        </w:rPr>
      </w:pPr>
      <w:r>
        <w:rPr>
          <w:rFonts w:ascii="Arial" w:cs="Arial" w:eastAsia="Arial" w:hAnsi="Arial"/>
          <w:sz w:val="15"/>
          <w:szCs w:val="15"/>
          <w:color w:val="auto"/>
        </w:rPr>
        <w:t>​GAAP Results</w:t>
      </w:r>
    </w:p>
    <w:p>
      <w:pPr>
        <w:spacing w:after="0" w:line="57" w:lineRule="exact"/>
        <w:rPr>
          <w:sz w:val="20"/>
          <w:szCs w:val="20"/>
          <w:color w:val="auto"/>
        </w:rPr>
      </w:pPr>
    </w:p>
    <w:p>
      <w:pPr>
        <w:ind w:left="1000" w:hanging="197"/>
        <w:spacing w:after="0"/>
        <w:tabs>
          <w:tab w:leader="none" w:pos="10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Plus: Debt refinancing charges</w:t>
      </w:r>
    </w:p>
    <w:p>
      <w:pPr>
        <w:spacing w:after="0" w:line="54" w:lineRule="exact"/>
        <w:rPr>
          <w:rFonts w:ascii="Arial" w:cs="Arial" w:eastAsia="Arial" w:hAnsi="Arial"/>
          <w:sz w:val="15"/>
          <w:szCs w:val="15"/>
          <w:color w:val="auto"/>
        </w:rPr>
      </w:pPr>
    </w:p>
    <w:p>
      <w:pPr>
        <w:ind w:left="1000" w:hanging="197"/>
        <w:spacing w:after="0" w:line="182" w:lineRule="auto"/>
        <w:tabs>
          <w:tab w:leader="none" w:pos="1000" w:val="left"/>
        </w:tabs>
        <w:numPr>
          <w:ilvl w:val="0"/>
          <w:numId w:val="94"/>
        </w:numPr>
        <w:rPr>
          <w:rFonts w:ascii="Arial" w:cs="Arial" w:eastAsia="Arial" w:hAnsi="Arial"/>
          <w:sz w:val="29"/>
          <w:szCs w:val="29"/>
          <w:color w:val="auto"/>
          <w:vertAlign w:val="subscript"/>
        </w:rPr>
      </w:pPr>
      <w:r>
        <w:rPr>
          <w:rFonts w:ascii="Arial" w:cs="Arial" w:eastAsia="Arial" w:hAnsi="Arial"/>
          <w:sz w:val="15"/>
          <w:szCs w:val="15"/>
          <w:color w:val="auto"/>
        </w:rPr>
        <w:t>Plus: Special Items</w:t>
      </w:r>
      <w:r>
        <w:rPr>
          <w:rFonts w:ascii="Arial" w:cs="Arial" w:eastAsia="Arial" w:hAnsi="Arial"/>
          <w:sz w:val="18"/>
          <w:szCs w:val="18"/>
          <w:color w:val="auto"/>
          <w:vertAlign w:val="superscript"/>
        </w:rPr>
        <w:t>(1)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Acima acquired assets depreciation and</w:t>
      </w:r>
    </w:p>
    <w:p>
      <w:pPr>
        <w:ind w:left="1300" w:hanging="497"/>
        <w:spacing w:after="0" w:line="180" w:lineRule="auto"/>
        <w:tabs>
          <w:tab w:leader="none" w:pos="1300" w:val="left"/>
        </w:tabs>
        <w:numPr>
          <w:ilvl w:val="0"/>
          <w:numId w:val="95"/>
        </w:numPr>
        <w:rPr>
          <w:rFonts w:ascii="Arial" w:cs="Arial" w:eastAsia="Arial" w:hAnsi="Arial"/>
          <w:sz w:val="31"/>
          <w:szCs w:val="31"/>
          <w:color w:val="auto"/>
          <w:vertAlign w:val="subscript"/>
        </w:rPr>
      </w:pPr>
      <w:r>
        <w:rPr>
          <w:rFonts w:ascii="Arial" w:cs="Arial" w:eastAsia="Arial" w:hAnsi="Arial"/>
          <w:sz w:val="15"/>
          <w:szCs w:val="15"/>
          <w:color w:val="auto"/>
        </w:rPr>
        <w:t>amortization</w:t>
      </w:r>
      <w:r>
        <w:rPr>
          <w:rFonts w:ascii="Arial" w:cs="Arial" w:eastAsia="Arial" w:hAnsi="Arial"/>
          <w:sz w:val="19"/>
          <w:szCs w:val="19"/>
          <w:color w:val="auto"/>
          <w:vertAlign w:val="superscript"/>
        </w:rPr>
        <w:t>(2)</w:t>
      </w:r>
    </w:p>
    <w:p>
      <w:pPr>
        <w:ind w:left="1140" w:hanging="337"/>
        <w:spacing w:after="0" w:line="181" w:lineRule="auto"/>
        <w:tabs>
          <w:tab w:leader="none" w:pos="1140" w:val="left"/>
        </w:tabs>
        <w:numPr>
          <w:ilvl w:val="0"/>
          <w:numId w:val="95"/>
        </w:numPr>
        <w:rPr>
          <w:rFonts w:ascii="Arial" w:cs="Arial" w:eastAsia="Arial" w:hAnsi="Arial"/>
          <w:sz w:val="31"/>
          <w:szCs w:val="31"/>
          <w:color w:val="auto"/>
          <w:vertAlign w:val="subscript"/>
        </w:rPr>
      </w:pPr>
      <w:r>
        <w:rPr>
          <w:rFonts w:ascii="Arial" w:cs="Arial" w:eastAsia="Arial" w:hAnsi="Arial"/>
          <w:sz w:val="15"/>
          <w:szCs w:val="15"/>
          <w:color w:val="auto"/>
        </w:rPr>
        <w:t>Legal matters</w:t>
      </w:r>
      <w:r>
        <w:rPr>
          <w:rFonts w:ascii="Arial" w:cs="Arial" w:eastAsia="Arial" w:hAnsi="Arial"/>
          <w:sz w:val="19"/>
          <w:szCs w:val="19"/>
          <w:color w:val="auto"/>
          <w:vertAlign w:val="superscript"/>
        </w:rPr>
        <w:t>(3)</w:t>
      </w:r>
    </w:p>
    <w:p>
      <w:pPr>
        <w:spacing w:after="0" w:line="1" w:lineRule="exact"/>
        <w:rPr>
          <w:rFonts w:ascii="Arial" w:cs="Arial" w:eastAsia="Arial" w:hAnsi="Arial"/>
          <w:sz w:val="31"/>
          <w:szCs w:val="31"/>
          <w:color w:val="auto"/>
          <w:vertAlign w:val="subscript"/>
        </w:rPr>
      </w:pPr>
    </w:p>
    <w:p>
      <w:pPr>
        <w:ind w:left="1140" w:hanging="337"/>
        <w:spacing w:after="0" w:line="184" w:lineRule="auto"/>
        <w:tabs>
          <w:tab w:leader="none" w:pos="1140" w:val="left"/>
        </w:tabs>
        <w:numPr>
          <w:ilvl w:val="0"/>
          <w:numId w:val="95"/>
        </w:numPr>
        <w:rPr>
          <w:rFonts w:ascii="Arial" w:cs="Arial" w:eastAsia="Arial" w:hAnsi="Arial"/>
          <w:sz w:val="29"/>
          <w:szCs w:val="29"/>
          <w:color w:val="auto"/>
          <w:vertAlign w:val="subscript"/>
        </w:rPr>
      </w:pPr>
      <w:r>
        <w:rPr>
          <w:rFonts w:ascii="Arial" w:cs="Arial" w:eastAsia="Arial" w:hAnsi="Arial"/>
          <w:sz w:val="15"/>
          <w:szCs w:val="15"/>
          <w:color w:val="auto"/>
        </w:rPr>
        <w:t>Accelerated software depreciation</w:t>
      </w:r>
      <w:r>
        <w:rPr>
          <w:rFonts w:ascii="Arial" w:cs="Arial" w:eastAsia="Arial" w:hAnsi="Arial"/>
          <w:sz w:val="18"/>
          <w:szCs w:val="18"/>
          <w:color w:val="auto"/>
          <w:vertAlign w:val="superscript"/>
        </w:rPr>
        <w:t>(4)</w:t>
      </w:r>
    </w:p>
    <w:p>
      <w:pPr>
        <w:ind w:left="1140" w:hanging="337"/>
        <w:spacing w:after="0" w:line="184" w:lineRule="auto"/>
        <w:tabs>
          <w:tab w:leader="none" w:pos="1140" w:val="left"/>
        </w:tabs>
        <w:numPr>
          <w:ilvl w:val="0"/>
          <w:numId w:val="95"/>
        </w:numPr>
        <w:rPr>
          <w:rFonts w:ascii="Arial" w:cs="Arial" w:eastAsia="Arial" w:hAnsi="Arial"/>
          <w:sz w:val="29"/>
          <w:szCs w:val="29"/>
          <w:color w:val="auto"/>
          <w:vertAlign w:val="subscript"/>
        </w:rPr>
      </w:pPr>
      <w:r>
        <w:rPr>
          <w:rFonts w:ascii="Arial" w:cs="Arial" w:eastAsia="Arial" w:hAnsi="Arial"/>
          <w:sz w:val="15"/>
          <w:szCs w:val="15"/>
          <w:color w:val="auto"/>
        </w:rPr>
        <w:t>Asset impairments</w:t>
      </w:r>
      <w:r>
        <w:rPr>
          <w:rFonts w:ascii="Arial" w:cs="Arial" w:eastAsia="Arial" w:hAnsi="Arial"/>
          <w:sz w:val="18"/>
          <w:szCs w:val="18"/>
          <w:color w:val="auto"/>
          <w:vertAlign w:val="superscript"/>
        </w:rPr>
        <w:t>(5)</w:t>
      </w:r>
    </w:p>
    <w:p>
      <w:pPr>
        <w:ind w:left="1140" w:hanging="337"/>
        <w:spacing w:after="0" w:line="184" w:lineRule="auto"/>
        <w:tabs>
          <w:tab w:leader="none" w:pos="1140" w:val="left"/>
        </w:tabs>
        <w:numPr>
          <w:ilvl w:val="0"/>
          <w:numId w:val="95"/>
        </w:numPr>
        <w:rPr>
          <w:rFonts w:ascii="Arial" w:cs="Arial" w:eastAsia="Arial" w:hAnsi="Arial"/>
          <w:sz w:val="29"/>
          <w:szCs w:val="29"/>
          <w:color w:val="auto"/>
          <w:vertAlign w:val="subscript"/>
        </w:rPr>
      </w:pPr>
      <w:r>
        <w:rPr>
          <w:rFonts w:ascii="Arial" w:cs="Arial" w:eastAsia="Arial" w:hAnsi="Arial"/>
          <w:sz w:val="15"/>
          <w:szCs w:val="15"/>
          <w:color w:val="auto"/>
        </w:rPr>
        <w:t>Accelerated stock compensation</w:t>
      </w:r>
      <w:r>
        <w:rPr>
          <w:rFonts w:ascii="Arial" w:cs="Arial" w:eastAsia="Arial" w:hAnsi="Arial"/>
          <w:sz w:val="18"/>
          <w:szCs w:val="18"/>
          <w:color w:val="auto"/>
          <w:vertAlign w:val="superscript"/>
        </w:rPr>
        <w:t>(6)</w:t>
      </w:r>
    </w:p>
    <w:p>
      <w:pPr>
        <w:ind w:left="1140" w:hanging="337"/>
        <w:spacing w:after="0" w:line="184" w:lineRule="auto"/>
        <w:tabs>
          <w:tab w:leader="none" w:pos="1140" w:val="left"/>
        </w:tabs>
        <w:numPr>
          <w:ilvl w:val="0"/>
          <w:numId w:val="95"/>
        </w:numPr>
        <w:rPr>
          <w:rFonts w:ascii="Arial" w:cs="Arial" w:eastAsia="Arial" w:hAnsi="Arial"/>
          <w:sz w:val="29"/>
          <w:szCs w:val="29"/>
          <w:color w:val="auto"/>
          <w:vertAlign w:val="subscript"/>
        </w:rPr>
      </w:pPr>
      <w:r>
        <w:rPr>
          <w:rFonts w:ascii="Arial" w:cs="Arial" w:eastAsia="Arial" w:hAnsi="Arial"/>
          <w:sz w:val="15"/>
          <w:szCs w:val="15"/>
          <w:color w:val="auto"/>
        </w:rPr>
        <w:t>Acima equity consideration vesting</w:t>
      </w:r>
      <w:r>
        <w:rPr>
          <w:rFonts w:ascii="Arial" w:cs="Arial" w:eastAsia="Arial" w:hAnsi="Arial"/>
          <w:sz w:val="18"/>
          <w:szCs w:val="18"/>
          <w:color w:val="auto"/>
          <w:vertAlign w:val="superscript"/>
        </w:rPr>
        <w:t>(7)</w:t>
      </w:r>
    </w:p>
    <w:p>
      <w:pPr>
        <w:ind w:left="1140" w:hanging="337"/>
        <w:spacing w:after="0" w:line="184" w:lineRule="auto"/>
        <w:tabs>
          <w:tab w:leader="none" w:pos="1140" w:val="left"/>
        </w:tabs>
        <w:numPr>
          <w:ilvl w:val="0"/>
          <w:numId w:val="95"/>
        </w:numPr>
        <w:rPr>
          <w:rFonts w:ascii="Arial" w:cs="Arial" w:eastAsia="Arial" w:hAnsi="Arial"/>
          <w:sz w:val="29"/>
          <w:szCs w:val="29"/>
          <w:color w:val="auto"/>
          <w:vertAlign w:val="subscript"/>
        </w:rPr>
      </w:pPr>
      <w:r>
        <w:rPr>
          <w:rFonts w:ascii="Arial" w:cs="Arial" w:eastAsia="Arial" w:hAnsi="Arial"/>
          <w:sz w:val="15"/>
          <w:szCs w:val="15"/>
          <w:color w:val="auto"/>
        </w:rPr>
        <w:t>Transaction fees</w:t>
      </w:r>
      <w:r>
        <w:rPr>
          <w:rFonts w:ascii="Arial" w:cs="Arial" w:eastAsia="Arial" w:hAnsi="Arial"/>
          <w:sz w:val="18"/>
          <w:szCs w:val="18"/>
          <w:color w:val="auto"/>
          <w:vertAlign w:val="superscript"/>
        </w:rPr>
        <w:t>(8)</w:t>
      </w:r>
    </w:p>
    <w:p>
      <w:pPr>
        <w:ind w:left="1140" w:hanging="337"/>
        <w:spacing w:after="0" w:line="184" w:lineRule="auto"/>
        <w:tabs>
          <w:tab w:leader="none" w:pos="1140" w:val="left"/>
        </w:tabs>
        <w:numPr>
          <w:ilvl w:val="0"/>
          <w:numId w:val="95"/>
        </w:numPr>
        <w:rPr>
          <w:rFonts w:ascii="Arial" w:cs="Arial" w:eastAsia="Arial" w:hAnsi="Arial"/>
          <w:sz w:val="29"/>
          <w:szCs w:val="29"/>
          <w:color w:val="auto"/>
          <w:vertAlign w:val="subscript"/>
        </w:rPr>
      </w:pPr>
      <w:r>
        <w:rPr>
          <w:rFonts w:ascii="Arial" w:cs="Arial" w:eastAsia="Arial" w:hAnsi="Arial"/>
          <w:sz w:val="15"/>
          <w:szCs w:val="15"/>
          <w:color w:val="auto"/>
        </w:rPr>
        <w:t>Other</w:t>
      </w:r>
      <w:r>
        <w:rPr>
          <w:rFonts w:ascii="Arial" w:cs="Arial" w:eastAsia="Arial" w:hAnsi="Arial"/>
          <w:sz w:val="18"/>
          <w:szCs w:val="18"/>
          <w:color w:val="auto"/>
          <w:vertAlign w:val="superscript"/>
        </w:rPr>
        <w:t>(9)</w:t>
      </w:r>
    </w:p>
    <w:p>
      <w:pPr>
        <w:ind w:left="1140" w:hanging="337"/>
        <w:spacing w:after="0" w:line="186" w:lineRule="auto"/>
        <w:tabs>
          <w:tab w:leader="none" w:pos="1140" w:val="left"/>
        </w:tabs>
        <w:numPr>
          <w:ilvl w:val="0"/>
          <w:numId w:val="95"/>
        </w:numPr>
        <w:rPr>
          <w:rFonts w:ascii="Arial" w:cs="Arial" w:eastAsia="Arial" w:hAnsi="Arial"/>
          <w:sz w:val="23"/>
          <w:szCs w:val="23"/>
          <w:color w:val="auto"/>
          <w:vertAlign w:val="subscript"/>
        </w:rPr>
      </w:pPr>
      <w:r>
        <w:rPr>
          <w:rFonts w:ascii="Arial" w:cs="Arial" w:eastAsia="Arial" w:hAnsi="Arial"/>
          <w:sz w:val="13"/>
          <w:szCs w:val="13"/>
          <w:color w:val="auto"/>
        </w:rPr>
        <w:t>Discrete income tax items</w:t>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​Non-GAAP Adjusted Results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160" w:type="dxa"/>
            <w:vAlign w:val="bottom"/>
            <w:gridSpan w:val="5"/>
          </w:tcPr>
          <w:p>
            <w:pPr>
              <w:jc w:val="right"/>
              <w:spacing w:after="0"/>
              <w:rPr>
                <w:sz w:val="20"/>
                <w:szCs w:val="20"/>
                <w:color w:val="auto"/>
              </w:rPr>
            </w:pPr>
            <w:r>
              <w:rPr>
                <w:rFonts w:ascii="Arial" w:cs="Arial" w:eastAsia="Arial" w:hAnsi="Arial"/>
                <w:sz w:val="15"/>
                <w:szCs w:val="15"/>
                <w:color w:val="auto"/>
              </w:rPr>
              <w:t>​ ​​$2,080,351​​ ​</w:t>
            </w:r>
          </w:p>
        </w:tc>
        <w:tc>
          <w:tcPr>
            <w:tcW w:w="980" w:type="dxa"/>
            <w:vAlign w:val="bottom"/>
            <w:gridSpan w:val="3"/>
          </w:tcPr>
          <w:p>
            <w:pPr>
              <w:jc w:val="right"/>
              <w:ind w:right="9"/>
              <w:spacing w:after="0"/>
              <w:rPr>
                <w:sz w:val="20"/>
                <w:szCs w:val="20"/>
                <w:color w:val="auto"/>
              </w:rPr>
            </w:pPr>
            <w:r>
              <w:rPr>
                <w:rFonts w:ascii="Arial" w:cs="Arial" w:eastAsia="Arial" w:hAnsi="Arial"/>
                <w:sz w:val="15"/>
                <w:szCs w:val="15"/>
                <w:color w:val="auto"/>
              </w:rPr>
              <w:t>​$291,631​​ ​</w:t>
            </w:r>
          </w:p>
        </w:tc>
        <w:tc>
          <w:tcPr>
            <w:tcW w:w="1120" w:type="dxa"/>
            <w:vAlign w:val="bottom"/>
            <w:gridSpan w:val="3"/>
          </w:tcPr>
          <w:p>
            <w:pPr>
              <w:jc w:val="right"/>
              <w:ind w:right="109"/>
              <w:spacing w:after="0"/>
              <w:rPr>
                <w:sz w:val="20"/>
                <w:szCs w:val="20"/>
                <w:color w:val="auto"/>
              </w:rPr>
            </w:pPr>
            <w:r>
              <w:rPr>
                <w:rFonts w:ascii="Arial" w:cs="Arial" w:eastAsia="Arial" w:hAnsi="Arial"/>
                <w:sz w:val="15"/>
                <w:szCs w:val="15"/>
                <w:color w:val="auto"/>
              </w:rPr>
              <w:t>​$177,541​​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​$ 54,063​​</w:t>
            </w:r>
          </w:p>
        </w:tc>
        <w:tc>
          <w:tcPr>
            <w:tcW w:w="1100" w:type="dxa"/>
            <w:vAlign w:val="bottom"/>
            <w:gridSpan w:val="4"/>
          </w:tcPr>
          <w:p>
            <w:pPr>
              <w:jc w:val="right"/>
              <w:ind w:right="84"/>
              <w:spacing w:after="0"/>
              <w:rPr>
                <w:sz w:val="20"/>
                <w:szCs w:val="20"/>
                <w:color w:val="auto"/>
              </w:rPr>
            </w:pPr>
            <w:r>
              <w:rPr>
                <w:rFonts w:ascii="Arial" w:cs="Arial" w:eastAsia="Arial" w:hAnsi="Arial"/>
                <w:sz w:val="15"/>
                <w:szCs w:val="15"/>
                <w:color w:val="auto"/>
              </w:rPr>
              <w:t>​​$123,478​​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229"/>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 ​</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109"/>
              <w:spacing w:after="0"/>
              <w:rPr>
                <w:sz w:val="20"/>
                <w:szCs w:val="20"/>
                <w:color w:val="auto"/>
              </w:rPr>
            </w:pPr>
            <w:r>
              <w:rPr>
                <w:rFonts w:ascii="Arial" w:cs="Arial" w:eastAsia="Arial" w:hAnsi="Arial"/>
                <w:sz w:val="15"/>
                <w:szCs w:val="15"/>
                <w:color w:val="auto"/>
              </w:rPr>
              <w:t>6,604​​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1,883​​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gridSpan w:val="2"/>
          </w:tcPr>
          <w:p>
            <w:pPr>
              <w:jc w:val="right"/>
              <w:ind w:right="84"/>
              <w:spacing w:after="0"/>
              <w:rPr>
                <w:sz w:val="20"/>
                <w:szCs w:val="20"/>
                <w:color w:val="auto"/>
              </w:rPr>
            </w:pPr>
            <w:r>
              <w:rPr>
                <w:rFonts w:ascii="Arial" w:cs="Arial" w:eastAsia="Arial" w:hAnsi="Arial"/>
                <w:sz w:val="15"/>
                <w:szCs w:val="15"/>
                <w:color w:val="auto"/>
              </w:rPr>
              <w:t>4,721​​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​0.08​​</w:t>
            </w:r>
          </w:p>
        </w:tc>
        <w:tc>
          <w:tcPr>
            <w:tcW w:w="0" w:type="dxa"/>
            <w:vAlign w:val="bottom"/>
          </w:tcPr>
          <w:p>
            <w:pPr>
              <w:spacing w:after="0"/>
              <w:rPr>
                <w:sz w:val="1"/>
                <w:szCs w:val="1"/>
                <w:color w:val="auto"/>
              </w:rPr>
            </w:pPr>
          </w:p>
        </w:tc>
      </w:tr>
      <w:tr>
        <w:trPr>
          <w:trHeight w:val="243"/>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4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 ​</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109"/>
              <w:spacing w:after="0"/>
              <w:rPr>
                <w:sz w:val="20"/>
                <w:szCs w:val="20"/>
                <w:color w:val="auto"/>
              </w:rPr>
            </w:pPr>
            <w:r>
              <w:rPr>
                <w:rFonts w:ascii="Arial" w:cs="Arial" w:eastAsia="Arial" w:hAnsi="Arial"/>
                <w:sz w:val="15"/>
                <w:szCs w:val="15"/>
                <w:color w:val="auto"/>
              </w:rPr>
              <w:t>​​ ​</w:t>
            </w:r>
          </w:p>
        </w:tc>
        <w:tc>
          <w:tcPr>
            <w:tcW w:w="40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460" w:type="dxa"/>
            <w:vAlign w:val="bottom"/>
          </w:tcPr>
          <w:p>
            <w:pPr>
              <w:spacing w:after="0"/>
              <w:rPr>
                <w:sz w:val="21"/>
                <w:szCs w:val="21"/>
                <w:color w:val="auto"/>
              </w:rPr>
            </w:pPr>
          </w:p>
        </w:tc>
        <w:tc>
          <w:tcPr>
            <w:tcW w:w="360" w:type="dxa"/>
            <w:vAlign w:val="bottom"/>
          </w:tcPr>
          <w:p>
            <w:pPr>
              <w:jc w:val="right"/>
              <w:ind w:right="84"/>
              <w:spacing w:after="0"/>
              <w:rPr>
                <w:sz w:val="20"/>
                <w:szCs w:val="20"/>
                <w:color w:val="auto"/>
              </w:rPr>
            </w:pPr>
            <w:r>
              <w:rPr>
                <w:rFonts w:ascii="Arial" w:cs="Arial" w:eastAsia="Arial" w:hAnsi="Arial"/>
                <w:sz w:val="15"/>
                <w:szCs w:val="15"/>
                <w:color w:val="auto"/>
              </w:rPr>
              <w:t>​​ ​</w:t>
            </w:r>
          </w:p>
        </w:tc>
        <w:tc>
          <w:tcPr>
            <w:tcW w:w="56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45"/>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980" w:type="dxa"/>
            <w:vAlign w:val="bottom"/>
            <w:gridSpan w:val="3"/>
          </w:tcPr>
          <w:p>
            <w:pPr>
              <w:jc w:val="right"/>
              <w:ind w:right="9"/>
              <w:spacing w:after="0"/>
              <w:rPr>
                <w:sz w:val="20"/>
                <w:szCs w:val="20"/>
                <w:color w:val="auto"/>
              </w:rPr>
            </w:pPr>
            <w:r>
              <w:rPr>
                <w:rFonts w:ascii="Arial" w:cs="Arial" w:eastAsia="Arial" w:hAnsi="Arial"/>
                <w:sz w:val="15"/>
                <w:szCs w:val="15"/>
                <w:color w:val="auto"/>
              </w:rPr>
              <w:t>​ ​ 61,347​​ ​</w:t>
            </w:r>
          </w:p>
        </w:tc>
        <w:tc>
          <w:tcPr>
            <w:tcW w:w="1120" w:type="dxa"/>
            <w:vAlign w:val="bottom"/>
            <w:gridSpan w:val="3"/>
          </w:tcPr>
          <w:p>
            <w:pPr>
              <w:jc w:val="right"/>
              <w:ind w:right="109"/>
              <w:spacing w:after="0"/>
              <w:rPr>
                <w:sz w:val="20"/>
                <w:szCs w:val="20"/>
                <w:color w:val="auto"/>
              </w:rPr>
            </w:pPr>
            <w:r>
              <w:rPr>
                <w:rFonts w:ascii="Arial" w:cs="Arial" w:eastAsia="Arial" w:hAnsi="Arial"/>
                <w:sz w:val="15"/>
                <w:szCs w:val="15"/>
                <w:color w:val="auto"/>
              </w:rPr>
              <w:t>​ ​ 61,347​​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​15,656​​</w:t>
            </w:r>
          </w:p>
        </w:tc>
        <w:tc>
          <w:tcPr>
            <w:tcW w:w="1100" w:type="dxa"/>
            <w:vAlign w:val="bottom"/>
            <w:gridSpan w:val="4"/>
          </w:tcPr>
          <w:p>
            <w:pPr>
              <w:jc w:val="right"/>
              <w:ind w:right="84"/>
              <w:spacing w:after="0"/>
              <w:rPr>
                <w:sz w:val="20"/>
                <w:szCs w:val="20"/>
                <w:color w:val="auto"/>
              </w:rPr>
            </w:pPr>
            <w:r>
              <w:rPr>
                <w:rFonts w:ascii="Arial" w:cs="Arial" w:eastAsia="Arial" w:hAnsi="Arial"/>
                <w:sz w:val="15"/>
                <w:szCs w:val="15"/>
                <w:color w:val="auto"/>
              </w:rPr>
              <w:t>​​ ​ 45,691​​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​0.82​​</w:t>
            </w:r>
          </w:p>
        </w:tc>
        <w:tc>
          <w:tcPr>
            <w:tcW w:w="0" w:type="dxa"/>
            <w:vAlign w:val="bottom"/>
          </w:tcPr>
          <w:p>
            <w:pPr>
              <w:spacing w:after="0"/>
              <w:rPr>
                <w:sz w:val="1"/>
                <w:szCs w:val="1"/>
                <w:color w:val="auto"/>
              </w:rPr>
            </w:pPr>
          </w:p>
        </w:tc>
      </w:tr>
      <w:tr>
        <w:trPr>
          <w:trHeight w:val="270"/>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980" w:type="dxa"/>
            <w:vAlign w:val="bottom"/>
            <w:gridSpan w:val="3"/>
          </w:tcPr>
          <w:p>
            <w:pPr>
              <w:jc w:val="right"/>
              <w:ind w:right="9"/>
              <w:spacing w:after="0"/>
              <w:rPr>
                <w:sz w:val="20"/>
                <w:szCs w:val="20"/>
                <w:color w:val="auto"/>
              </w:rPr>
            </w:pPr>
            <w:r>
              <w:rPr>
                <w:rFonts w:ascii="Arial" w:cs="Arial" w:eastAsia="Arial" w:hAnsi="Arial"/>
                <w:sz w:val="15"/>
                <w:szCs w:val="15"/>
                <w:color w:val="auto"/>
              </w:rPr>
              <w:t>​ ​ 15,764​​ ​</w:t>
            </w:r>
          </w:p>
        </w:tc>
        <w:tc>
          <w:tcPr>
            <w:tcW w:w="1120" w:type="dxa"/>
            <w:vAlign w:val="bottom"/>
            <w:gridSpan w:val="3"/>
          </w:tcPr>
          <w:p>
            <w:pPr>
              <w:jc w:val="right"/>
              <w:ind w:right="109"/>
              <w:spacing w:after="0"/>
              <w:rPr>
                <w:sz w:val="20"/>
                <w:szCs w:val="20"/>
                <w:color w:val="auto"/>
              </w:rPr>
            </w:pPr>
            <w:r>
              <w:rPr>
                <w:rFonts w:ascii="Arial" w:cs="Arial" w:eastAsia="Arial" w:hAnsi="Arial"/>
                <w:sz w:val="15"/>
                <w:szCs w:val="15"/>
                <w:color w:val="auto"/>
              </w:rPr>
              <w:t>​ ​ 15,764​​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3,532​​</w:t>
            </w:r>
          </w:p>
        </w:tc>
        <w:tc>
          <w:tcPr>
            <w:tcW w:w="1100" w:type="dxa"/>
            <w:vAlign w:val="bottom"/>
            <w:gridSpan w:val="4"/>
          </w:tcPr>
          <w:p>
            <w:pPr>
              <w:jc w:val="right"/>
              <w:ind w:right="84"/>
              <w:spacing w:after="0"/>
              <w:rPr>
                <w:sz w:val="20"/>
                <w:szCs w:val="20"/>
                <w:color w:val="auto"/>
              </w:rPr>
            </w:pPr>
            <w:r>
              <w:rPr>
                <w:rFonts w:ascii="Arial" w:cs="Arial" w:eastAsia="Arial" w:hAnsi="Arial"/>
                <w:sz w:val="15"/>
                <w:szCs w:val="15"/>
                <w:color w:val="auto"/>
              </w:rPr>
              <w:t>​​ ​ 12,232​​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​0.22​​</w:t>
            </w:r>
          </w:p>
        </w:tc>
        <w:tc>
          <w:tcPr>
            <w:tcW w:w="0" w:type="dxa"/>
            <w:vAlign w:val="bottom"/>
          </w:tcPr>
          <w:p>
            <w:pPr>
              <w:spacing w:after="0"/>
              <w:rPr>
                <w:sz w:val="1"/>
                <w:szCs w:val="1"/>
                <w:color w:val="auto"/>
              </w:rPr>
            </w:pPr>
          </w:p>
        </w:tc>
      </w:tr>
      <w:tr>
        <w:trPr>
          <w:trHeight w:val="257"/>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6,145​​ ​</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109"/>
              <w:spacing w:after="0"/>
              <w:rPr>
                <w:sz w:val="20"/>
                <w:szCs w:val="20"/>
                <w:color w:val="auto"/>
              </w:rPr>
            </w:pPr>
            <w:r>
              <w:rPr>
                <w:rFonts w:ascii="Arial" w:cs="Arial" w:eastAsia="Arial" w:hAnsi="Arial"/>
                <w:sz w:val="15"/>
                <w:szCs w:val="15"/>
                <w:color w:val="auto"/>
              </w:rPr>
              <w:t>6,145​​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1,752​​</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gridSpan w:val="2"/>
          </w:tcPr>
          <w:p>
            <w:pPr>
              <w:jc w:val="right"/>
              <w:ind w:right="84"/>
              <w:spacing w:after="0"/>
              <w:rPr>
                <w:sz w:val="20"/>
                <w:szCs w:val="20"/>
                <w:color w:val="auto"/>
              </w:rPr>
            </w:pPr>
            <w:r>
              <w:rPr>
                <w:rFonts w:ascii="Arial" w:cs="Arial" w:eastAsia="Arial" w:hAnsi="Arial"/>
                <w:sz w:val="15"/>
                <w:szCs w:val="15"/>
                <w:color w:val="auto"/>
              </w:rPr>
              <w:t>4,393​​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​0.08​​</w:t>
            </w:r>
          </w:p>
        </w:tc>
        <w:tc>
          <w:tcPr>
            <w:tcW w:w="0" w:type="dxa"/>
            <w:vAlign w:val="bottom"/>
          </w:tcPr>
          <w:p>
            <w:pPr>
              <w:spacing w:after="0"/>
              <w:rPr>
                <w:sz w:val="1"/>
                <w:szCs w:val="1"/>
                <w:color w:val="auto"/>
              </w:rPr>
            </w:pPr>
          </w:p>
        </w:tc>
      </w:tr>
      <w:tr>
        <w:trPr>
          <w:trHeight w:val="257"/>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5,944​​ ​</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109"/>
              <w:spacing w:after="0"/>
              <w:rPr>
                <w:sz w:val="20"/>
                <w:szCs w:val="20"/>
                <w:color w:val="auto"/>
              </w:rPr>
            </w:pPr>
            <w:r>
              <w:rPr>
                <w:rFonts w:ascii="Arial" w:cs="Arial" w:eastAsia="Arial" w:hAnsi="Arial"/>
                <w:sz w:val="15"/>
                <w:szCs w:val="15"/>
                <w:color w:val="auto"/>
              </w:rPr>
              <w:t>5,944​​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1,700​​</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gridSpan w:val="2"/>
          </w:tcPr>
          <w:p>
            <w:pPr>
              <w:jc w:val="right"/>
              <w:ind w:right="84"/>
              <w:spacing w:after="0"/>
              <w:rPr>
                <w:sz w:val="20"/>
                <w:szCs w:val="20"/>
                <w:color w:val="auto"/>
              </w:rPr>
            </w:pPr>
            <w:r>
              <w:rPr>
                <w:rFonts w:ascii="Arial" w:cs="Arial" w:eastAsia="Arial" w:hAnsi="Arial"/>
                <w:sz w:val="15"/>
                <w:szCs w:val="15"/>
                <w:color w:val="auto"/>
              </w:rPr>
              <w:t>4,244​​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​0.08​​</w:t>
            </w:r>
          </w:p>
        </w:tc>
        <w:tc>
          <w:tcPr>
            <w:tcW w:w="0" w:type="dxa"/>
            <w:vAlign w:val="bottom"/>
          </w:tcPr>
          <w:p>
            <w:pPr>
              <w:spacing w:after="0"/>
              <w:rPr>
                <w:sz w:val="1"/>
                <w:szCs w:val="1"/>
                <w:color w:val="auto"/>
              </w:rPr>
            </w:pPr>
          </w:p>
        </w:tc>
      </w:tr>
      <w:tr>
        <w:trPr>
          <w:trHeight w:val="257"/>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5,073​​ ​</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109"/>
              <w:spacing w:after="0"/>
              <w:rPr>
                <w:sz w:val="20"/>
                <w:szCs w:val="20"/>
                <w:color w:val="auto"/>
              </w:rPr>
            </w:pPr>
            <w:r>
              <w:rPr>
                <w:rFonts w:ascii="Arial" w:cs="Arial" w:eastAsia="Arial" w:hAnsi="Arial"/>
                <w:sz w:val="15"/>
                <w:szCs w:val="15"/>
                <w:color w:val="auto"/>
              </w:rPr>
              <w:t>5,073​​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 1,241​​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gridSpan w:val="2"/>
          </w:tcPr>
          <w:p>
            <w:pPr>
              <w:jc w:val="right"/>
              <w:ind w:right="84"/>
              <w:spacing w:after="0"/>
              <w:rPr>
                <w:sz w:val="20"/>
                <w:szCs w:val="20"/>
                <w:color w:val="auto"/>
              </w:rPr>
            </w:pPr>
            <w:r>
              <w:rPr>
                <w:rFonts w:ascii="Arial" w:cs="Arial" w:eastAsia="Arial" w:hAnsi="Arial"/>
                <w:sz w:val="15"/>
                <w:szCs w:val="15"/>
                <w:color w:val="auto"/>
              </w:rPr>
              <w:t>3,832​​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​0.06​​</w:t>
            </w:r>
          </w:p>
        </w:tc>
        <w:tc>
          <w:tcPr>
            <w:tcW w:w="0" w:type="dxa"/>
            <w:vAlign w:val="bottom"/>
          </w:tcPr>
          <w:p>
            <w:pPr>
              <w:spacing w:after="0"/>
              <w:rPr>
                <w:sz w:val="1"/>
                <w:szCs w:val="1"/>
                <w:color w:val="auto"/>
              </w:rPr>
            </w:pPr>
          </w:p>
        </w:tc>
      </w:tr>
      <w:tr>
        <w:trPr>
          <w:trHeight w:val="181"/>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400" w:type="dxa"/>
            <w:vAlign w:val="bottom"/>
          </w:tcPr>
          <w:p>
            <w:pPr>
              <w:ind w:left="240"/>
              <w:spacing w:after="0"/>
              <w:rPr>
                <w:sz w:val="20"/>
                <w:szCs w:val="20"/>
                <w:color w:val="auto"/>
              </w:rPr>
            </w:pPr>
            <w:r>
              <w:rPr>
                <w:rFonts w:ascii="Arial" w:cs="Arial" w:eastAsia="Arial" w:hAnsi="Arial"/>
                <w:sz w:val="15"/>
                <w:szCs w:val="15"/>
                <w:color w:val="auto"/>
                <w:w w:val="93"/>
              </w:rPr>
              <w:t>—</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2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09"/>
              <w:spacing w:after="0"/>
              <w:rPr>
                <w:sz w:val="20"/>
                <w:szCs w:val="20"/>
                <w:color w:val="auto"/>
              </w:rPr>
            </w:pPr>
            <w:r>
              <w:rPr>
                <w:rFonts w:ascii="Arial" w:cs="Arial" w:eastAsia="Arial" w:hAnsi="Arial"/>
                <w:sz w:val="15"/>
                <w:szCs w:val="15"/>
                <w:color w:val="auto"/>
              </w:rPr>
              <w:t>4,893</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89"/>
              <w:spacing w:after="0"/>
              <w:rPr>
                <w:sz w:val="20"/>
                <w:szCs w:val="20"/>
                <w:color w:val="auto"/>
              </w:rPr>
            </w:pPr>
            <w:r>
              <w:rPr>
                <w:rFonts w:ascii="Arial" w:cs="Arial" w:eastAsia="Arial" w:hAnsi="Arial"/>
                <w:sz w:val="15"/>
                <w:szCs w:val="15"/>
                <w:color w:val="auto"/>
              </w:rPr>
              <w:t>4,893</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
              <w:spacing w:after="0"/>
              <w:rPr>
                <w:sz w:val="20"/>
                <w:szCs w:val="20"/>
                <w:color w:val="auto"/>
              </w:rPr>
            </w:pPr>
            <w:r>
              <w:rPr>
                <w:rFonts w:ascii="Arial" w:cs="Arial" w:eastAsia="Arial" w:hAnsi="Arial"/>
                <w:sz w:val="15"/>
                <w:szCs w:val="15"/>
                <w:color w:val="auto"/>
              </w:rPr>
              <w:t>​(1,028)</w:t>
            </w: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5,921</w:t>
            </w:r>
          </w:p>
        </w:tc>
        <w:tc>
          <w:tcPr>
            <w:tcW w:w="360" w:type="dxa"/>
            <w:vAlign w:val="bottom"/>
            <w:vMerge w:val="restart"/>
          </w:tcPr>
          <w:p>
            <w:pPr>
              <w:jc w:val="right"/>
              <w:ind w:right="84"/>
              <w:spacing w:after="0"/>
              <w:rPr>
                <w:sz w:val="20"/>
                <w:szCs w:val="20"/>
                <w:color w:val="auto"/>
              </w:rPr>
            </w:pPr>
            <w:r>
              <w:rPr>
                <w:rFonts w:ascii="Arial" w:cs="Arial" w:eastAsia="Arial" w:hAnsi="Arial"/>
                <w:sz w:val="15"/>
                <w:szCs w:val="15"/>
                <w:color w:val="auto"/>
              </w:rPr>
              <w:t>​​ ​</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320" w:type="dxa"/>
            <w:vAlign w:val="bottom"/>
          </w:tcPr>
          <w:p>
            <w:pPr>
              <w:ind w:left="20"/>
              <w:spacing w:after="0"/>
              <w:rPr>
                <w:sz w:val="20"/>
                <w:szCs w:val="20"/>
                <w:color w:val="auto"/>
              </w:rPr>
            </w:pPr>
            <w:r>
              <w:rPr>
                <w:rFonts w:ascii="Arial" w:cs="Arial" w:eastAsia="Arial" w:hAnsi="Arial"/>
                <w:sz w:val="15"/>
                <w:szCs w:val="15"/>
                <w:color w:val="auto"/>
                <w:w w:val="95"/>
              </w:rPr>
              <w:t>​0.11</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4"/>
        </w:trPr>
        <w:tc>
          <w:tcPr>
            <w:tcW w:w="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ind w:right="9"/>
              <w:spacing w:after="0" w:line="105" w:lineRule="exact"/>
              <w:rPr>
                <w:sz w:val="20"/>
                <w:szCs w:val="20"/>
                <w:color w:val="auto"/>
              </w:rPr>
            </w:pPr>
            <w:r>
              <w:rPr>
                <w:rFonts w:ascii="Arial" w:cs="Arial" w:eastAsia="Arial" w:hAnsi="Arial"/>
                <w:sz w:val="12"/>
                <w:szCs w:val="12"/>
                <w:color w:val="auto"/>
              </w:rPr>
              <w:t>​​ ​</w:t>
            </w:r>
          </w:p>
        </w:tc>
        <w:tc>
          <w:tcPr>
            <w:tcW w:w="1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109"/>
              <w:spacing w:after="0" w:line="105" w:lineRule="exact"/>
              <w:rPr>
                <w:sz w:val="20"/>
                <w:szCs w:val="20"/>
                <w:color w:val="auto"/>
              </w:rPr>
            </w:pPr>
            <w:r>
              <w:rPr>
                <w:rFonts w:ascii="Arial" w:cs="Arial" w:eastAsia="Arial" w:hAnsi="Arial"/>
                <w:sz w:val="12"/>
                <w:szCs w:val="12"/>
                <w:color w:val="auto"/>
              </w:rPr>
              <w:t>​​ ​</w:t>
            </w:r>
          </w:p>
        </w:tc>
        <w:tc>
          <w:tcPr>
            <w:tcW w:w="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2"/>
                <w:szCs w:val="12"/>
                <w:color w:val="auto"/>
              </w:rPr>
              <w:t>​​</w:t>
            </w:r>
          </w:p>
        </w:tc>
        <w:tc>
          <w:tcPr>
            <w:tcW w:w="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3,656​​ ​</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109"/>
              <w:spacing w:after="0"/>
              <w:rPr>
                <w:sz w:val="20"/>
                <w:szCs w:val="20"/>
                <w:color w:val="auto"/>
              </w:rPr>
            </w:pPr>
            <w:r>
              <w:rPr>
                <w:rFonts w:ascii="Arial" w:cs="Arial" w:eastAsia="Arial" w:hAnsi="Arial"/>
                <w:sz w:val="15"/>
                <w:szCs w:val="15"/>
                <w:color w:val="auto"/>
              </w:rPr>
              <w:t>3,656​​ ​</w:t>
            </w:r>
          </w:p>
        </w:tc>
        <w:tc>
          <w:tcPr>
            <w:tcW w:w="40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480" w:type="dxa"/>
            <w:vAlign w:val="bottom"/>
          </w:tcPr>
          <w:p>
            <w:pPr>
              <w:jc w:val="right"/>
              <w:spacing w:after="0"/>
              <w:rPr>
                <w:sz w:val="20"/>
                <w:szCs w:val="20"/>
                <w:color w:val="auto"/>
              </w:rPr>
            </w:pPr>
            <w:r>
              <w:rPr>
                <w:rFonts w:ascii="Arial" w:cs="Arial" w:eastAsia="Arial" w:hAnsi="Arial"/>
                <w:sz w:val="15"/>
                <w:szCs w:val="15"/>
                <w:color w:val="auto"/>
              </w:rPr>
              <w:t>836​​</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gridSpan w:val="2"/>
          </w:tcPr>
          <w:p>
            <w:pPr>
              <w:jc w:val="right"/>
              <w:ind w:right="84"/>
              <w:spacing w:after="0"/>
              <w:rPr>
                <w:sz w:val="20"/>
                <w:szCs w:val="20"/>
                <w:color w:val="auto"/>
              </w:rPr>
            </w:pPr>
            <w:r>
              <w:rPr>
                <w:rFonts w:ascii="Arial" w:cs="Arial" w:eastAsia="Arial" w:hAnsi="Arial"/>
                <w:sz w:val="15"/>
                <w:szCs w:val="15"/>
                <w:color w:val="auto"/>
              </w:rPr>
              <w:t>2,820​​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​0.05​​</w:t>
            </w:r>
          </w:p>
        </w:tc>
        <w:tc>
          <w:tcPr>
            <w:tcW w:w="0" w:type="dxa"/>
            <w:vAlign w:val="bottom"/>
          </w:tcPr>
          <w:p>
            <w:pPr>
              <w:spacing w:after="0"/>
              <w:rPr>
                <w:sz w:val="1"/>
                <w:szCs w:val="1"/>
                <w:color w:val="auto"/>
              </w:rPr>
            </w:pPr>
          </w:p>
        </w:tc>
      </w:tr>
      <w:tr>
        <w:trPr>
          <w:trHeight w:val="257"/>
        </w:trPr>
        <w:tc>
          <w:tcPr>
            <w:tcW w:w="540" w:type="dxa"/>
            <w:vAlign w:val="bottom"/>
            <w:gridSpan w:val="3"/>
          </w:tcPr>
          <w:p>
            <w:pPr>
              <w:jc w:val="right"/>
              <w:ind w:right="18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1,758​​ ​</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109"/>
              <w:spacing w:after="0"/>
              <w:rPr>
                <w:sz w:val="20"/>
                <w:szCs w:val="20"/>
                <w:color w:val="auto"/>
              </w:rPr>
            </w:pPr>
            <w:r>
              <w:rPr>
                <w:rFonts w:ascii="Arial" w:cs="Arial" w:eastAsia="Arial" w:hAnsi="Arial"/>
                <w:sz w:val="15"/>
                <w:szCs w:val="15"/>
                <w:color w:val="auto"/>
              </w:rPr>
              <w:t>1,758​​ ​</w:t>
            </w:r>
          </w:p>
        </w:tc>
        <w:tc>
          <w:tcPr>
            <w:tcW w:w="40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480" w:type="dxa"/>
            <w:vAlign w:val="bottom"/>
          </w:tcPr>
          <w:p>
            <w:pPr>
              <w:jc w:val="right"/>
              <w:spacing w:after="0"/>
              <w:rPr>
                <w:sz w:val="20"/>
                <w:szCs w:val="20"/>
                <w:color w:val="auto"/>
              </w:rPr>
            </w:pPr>
            <w:r>
              <w:rPr>
                <w:rFonts w:ascii="Arial" w:cs="Arial" w:eastAsia="Arial" w:hAnsi="Arial"/>
                <w:sz w:val="15"/>
                <w:szCs w:val="15"/>
                <w:color w:val="auto"/>
              </w:rPr>
              <w:t>435​​</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20" w:type="dxa"/>
            <w:vAlign w:val="bottom"/>
            <w:gridSpan w:val="2"/>
          </w:tcPr>
          <w:p>
            <w:pPr>
              <w:jc w:val="right"/>
              <w:ind w:right="84"/>
              <w:spacing w:after="0"/>
              <w:rPr>
                <w:sz w:val="20"/>
                <w:szCs w:val="20"/>
                <w:color w:val="auto"/>
              </w:rPr>
            </w:pPr>
            <w:r>
              <w:rPr>
                <w:rFonts w:ascii="Arial" w:cs="Arial" w:eastAsia="Arial" w:hAnsi="Arial"/>
                <w:sz w:val="15"/>
                <w:szCs w:val="15"/>
                <w:color w:val="auto"/>
              </w:rPr>
              <w:t>1,323​​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​0.02​​</w:t>
            </w:r>
          </w:p>
        </w:tc>
        <w:tc>
          <w:tcPr>
            <w:tcW w:w="0" w:type="dxa"/>
            <w:vAlign w:val="bottom"/>
          </w:tcPr>
          <w:p>
            <w:pPr>
              <w:spacing w:after="0"/>
              <w:rPr>
                <w:sz w:val="1"/>
                <w:szCs w:val="1"/>
                <w:color w:val="auto"/>
              </w:rPr>
            </w:pPr>
          </w:p>
        </w:tc>
      </w:tr>
      <w:tr>
        <w:trPr>
          <w:trHeight w:val="168"/>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ind w:right="184"/>
              <w:spacing w:after="0" w:line="168" w:lineRule="exact"/>
              <w:rPr>
                <w:sz w:val="20"/>
                <w:szCs w:val="20"/>
                <w:color w:val="auto"/>
              </w:rPr>
            </w:pPr>
            <w:r>
              <w:rPr>
                <w:rFonts w:ascii="Arial" w:cs="Arial" w:eastAsia="Arial" w:hAnsi="Arial"/>
                <w:sz w:val="15"/>
                <w:szCs w:val="15"/>
                <w:color w:val="auto"/>
              </w:rPr>
              <w:t>​</w:t>
            </w:r>
          </w:p>
        </w:tc>
        <w:tc>
          <w:tcPr>
            <w:tcW w:w="400" w:type="dxa"/>
            <w:vAlign w:val="bottom"/>
          </w:tcPr>
          <w:p>
            <w:pPr>
              <w:ind w:left="240"/>
              <w:spacing w:after="0" w:line="168" w:lineRule="exact"/>
              <w:rPr>
                <w:sz w:val="20"/>
                <w:szCs w:val="20"/>
                <w:color w:val="auto"/>
              </w:rPr>
            </w:pPr>
            <w:r>
              <w:rPr>
                <w:rFonts w:ascii="Arial" w:cs="Arial" w:eastAsia="Arial" w:hAnsi="Arial"/>
                <w:sz w:val="15"/>
                <w:szCs w:val="15"/>
                <w:color w:val="auto"/>
                <w:w w:val="93"/>
              </w:rPr>
              <w:t>—</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2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720" w:type="dxa"/>
            <w:vAlign w:val="bottom"/>
          </w:tcPr>
          <w:p>
            <w:pPr>
              <w:jc w:val="right"/>
              <w:ind w:right="209"/>
              <w:spacing w:after="0" w:line="168" w:lineRule="exact"/>
              <w:rPr>
                <w:sz w:val="20"/>
                <w:szCs w:val="20"/>
                <w:color w:val="auto"/>
              </w:rPr>
            </w:pPr>
            <w:r>
              <w:rPr>
                <w:rFonts w:ascii="Arial" w:cs="Arial" w:eastAsia="Arial" w:hAnsi="Arial"/>
                <w:sz w:val="15"/>
                <w:szCs w:val="15"/>
                <w:color w:val="auto"/>
              </w:rPr>
              <w:t>—</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89"/>
              <w:spacing w:after="0" w:line="168" w:lineRule="exact"/>
              <w:rPr>
                <w:sz w:val="20"/>
                <w:szCs w:val="20"/>
                <w:color w:val="auto"/>
              </w:rPr>
            </w:pPr>
            <w:r>
              <w:rPr>
                <w:rFonts w:ascii="Arial" w:cs="Arial" w:eastAsia="Arial" w:hAnsi="Arial"/>
                <w:sz w:val="15"/>
                <w:szCs w:val="15"/>
                <w:color w:val="auto"/>
              </w:rPr>
              <w:t>—</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
              <w:spacing w:after="0" w:line="168" w:lineRule="exact"/>
              <w:rPr>
                <w:sz w:val="20"/>
                <w:szCs w:val="20"/>
                <w:color w:val="auto"/>
              </w:rPr>
            </w:pPr>
            <w:r>
              <w:rPr>
                <w:rFonts w:ascii="Arial" w:cs="Arial" w:eastAsia="Arial" w:hAnsi="Arial"/>
                <w:sz w:val="15"/>
                <w:szCs w:val="15"/>
                <w:color w:val="auto"/>
              </w:rPr>
              <w:t>​(5,521)</w:t>
            </w: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8" w:lineRule="exact"/>
              <w:rPr>
                <w:sz w:val="20"/>
                <w:szCs w:val="20"/>
                <w:color w:val="auto"/>
              </w:rPr>
            </w:pPr>
            <w:r>
              <w:rPr>
                <w:rFonts w:ascii="Arial" w:cs="Arial" w:eastAsia="Arial" w:hAnsi="Arial"/>
                <w:sz w:val="15"/>
                <w:szCs w:val="15"/>
                <w:color w:val="auto"/>
              </w:rPr>
              <w:t>5,521</w:t>
            </w:r>
          </w:p>
        </w:tc>
        <w:tc>
          <w:tcPr>
            <w:tcW w:w="360" w:type="dxa"/>
            <w:vAlign w:val="bottom"/>
            <w:vMerge w:val="restart"/>
          </w:tcPr>
          <w:p>
            <w:pPr>
              <w:jc w:val="right"/>
              <w:ind w:right="84"/>
              <w:spacing w:after="0"/>
              <w:rPr>
                <w:sz w:val="20"/>
                <w:szCs w:val="20"/>
                <w:color w:val="auto"/>
              </w:rPr>
            </w:pPr>
            <w:r>
              <w:rPr>
                <w:rFonts w:ascii="Arial" w:cs="Arial" w:eastAsia="Arial" w:hAnsi="Arial"/>
                <w:sz w:val="15"/>
                <w:szCs w:val="15"/>
                <w:color w:val="auto"/>
              </w:rPr>
              <w:t>​​ ​</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320" w:type="dxa"/>
            <w:vAlign w:val="bottom"/>
          </w:tcPr>
          <w:p>
            <w:pPr>
              <w:ind w:left="20"/>
              <w:spacing w:after="0" w:line="168" w:lineRule="exact"/>
              <w:rPr>
                <w:sz w:val="20"/>
                <w:szCs w:val="20"/>
                <w:color w:val="auto"/>
              </w:rPr>
            </w:pPr>
            <w:r>
              <w:rPr>
                <w:rFonts w:ascii="Arial" w:cs="Arial" w:eastAsia="Arial" w:hAnsi="Arial"/>
                <w:sz w:val="15"/>
                <w:szCs w:val="15"/>
                <w:color w:val="auto"/>
                <w:w w:val="95"/>
              </w:rPr>
              <w:t>​0.10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1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jc w:val="right"/>
              <w:ind w:right="109"/>
              <w:spacing w:after="0" w:line="68" w:lineRule="exact"/>
              <w:rPr>
                <w:sz w:val="20"/>
                <w:szCs w:val="20"/>
                <w:color w:val="auto"/>
              </w:rPr>
            </w:pPr>
            <w:r>
              <w:rPr>
                <w:rFonts w:ascii="Arial" w:cs="Arial" w:eastAsia="Arial" w:hAnsi="Arial"/>
                <w:sz w:val="7"/>
                <w:szCs w:val="7"/>
                <w:color w:val="auto"/>
              </w:rPr>
              <w:t>​​ ​</w:t>
            </w:r>
          </w:p>
        </w:tc>
        <w:tc>
          <w:tcPr>
            <w:tcW w:w="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60" w:type="dxa"/>
            <w:vAlign w:val="bottom"/>
            <w:gridSpan w:val="5"/>
          </w:tcPr>
          <w:p>
            <w:pPr>
              <w:jc w:val="right"/>
              <w:spacing w:after="0"/>
              <w:rPr>
                <w:sz w:val="20"/>
                <w:szCs w:val="20"/>
                <w:color w:val="auto"/>
              </w:rPr>
            </w:pPr>
            <w:r>
              <w:rPr>
                <w:rFonts w:ascii="Arial" w:cs="Arial" w:eastAsia="Arial" w:hAnsi="Arial"/>
                <w:sz w:val="15"/>
                <w:szCs w:val="15"/>
                <w:color w:val="auto"/>
              </w:rPr>
              <w:t>​ ​​$2,080,351​​ ​</w:t>
            </w:r>
          </w:p>
        </w:tc>
        <w:tc>
          <w:tcPr>
            <w:tcW w:w="980" w:type="dxa"/>
            <w:vAlign w:val="bottom"/>
            <w:gridSpan w:val="3"/>
          </w:tcPr>
          <w:p>
            <w:pPr>
              <w:jc w:val="right"/>
              <w:ind w:right="9"/>
              <w:spacing w:after="0"/>
              <w:rPr>
                <w:sz w:val="20"/>
                <w:szCs w:val="20"/>
                <w:color w:val="auto"/>
              </w:rPr>
            </w:pPr>
            <w:r>
              <w:rPr>
                <w:rFonts w:ascii="Arial" w:cs="Arial" w:eastAsia="Arial" w:hAnsi="Arial"/>
                <w:sz w:val="15"/>
                <w:szCs w:val="15"/>
                <w:color w:val="auto"/>
              </w:rPr>
              <w:t>​$396,211​​ ​</w:t>
            </w:r>
          </w:p>
        </w:tc>
        <w:tc>
          <w:tcPr>
            <w:tcW w:w="1120" w:type="dxa"/>
            <w:vAlign w:val="bottom"/>
            <w:gridSpan w:val="3"/>
          </w:tcPr>
          <w:p>
            <w:pPr>
              <w:jc w:val="right"/>
              <w:ind w:right="109"/>
              <w:spacing w:after="0"/>
              <w:rPr>
                <w:sz w:val="20"/>
                <w:szCs w:val="20"/>
                <w:color w:val="auto"/>
              </w:rPr>
            </w:pPr>
            <w:r>
              <w:rPr>
                <w:rFonts w:ascii="Arial" w:cs="Arial" w:eastAsia="Arial" w:hAnsi="Arial"/>
                <w:sz w:val="15"/>
                <w:szCs w:val="15"/>
                <w:color w:val="auto"/>
              </w:rPr>
              <w:t>​$288,725​​ ​</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​$ 74,549​​</w:t>
            </w:r>
          </w:p>
        </w:tc>
        <w:tc>
          <w:tcPr>
            <w:tcW w:w="1100" w:type="dxa"/>
            <w:vAlign w:val="bottom"/>
            <w:gridSpan w:val="4"/>
          </w:tcPr>
          <w:p>
            <w:pPr>
              <w:jc w:val="right"/>
              <w:ind w:right="84"/>
              <w:spacing w:after="0"/>
              <w:rPr>
                <w:sz w:val="20"/>
                <w:szCs w:val="20"/>
                <w:color w:val="auto"/>
              </w:rPr>
            </w:pPr>
            <w:r>
              <w:rPr>
                <w:rFonts w:ascii="Arial" w:cs="Arial" w:eastAsia="Arial" w:hAnsi="Arial"/>
                <w:sz w:val="15"/>
                <w:szCs w:val="15"/>
                <w:color w:val="auto"/>
              </w:rPr>
              <w:t>​​$214,176​​ ​</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-2082165</wp:posOffset>
            </wp:positionH>
            <wp:positionV relativeFrom="paragraph">
              <wp:posOffset>-1924050</wp:posOffset>
            </wp:positionV>
            <wp:extent cx="583755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-1478280</wp:posOffset>
            </wp:positionV>
            <wp:extent cx="5837555"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-1153160</wp:posOffset>
            </wp:positionV>
            <wp:extent cx="5837555"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-826770</wp:posOffset>
            </wp:positionV>
            <wp:extent cx="583755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-501015</wp:posOffset>
            </wp:positionV>
            <wp:extent cx="5837555"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-175895</wp:posOffset>
            </wp:positionV>
            <wp:extent cx="583755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860" w:space="180"/>
            <w:col w:w="5960"/>
          </w:cols>
          <w:pgMar w:left="580" w:top="97" w:right="1319" w:bottom="1440" w:gutter="0" w:footer="0" w:header="0"/>
          <w:type w:val="continuous"/>
        </w:sectPr>
      </w:pPr>
    </w:p>
    <w:p>
      <w:pPr>
        <w:ind w:left="1120" w:hanging="358"/>
        <w:spacing w:after="0"/>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Special items are reported as Other Gains and Charges in the Company’s Consolidated Statements of Operations.</w:t>
      </w:r>
    </w:p>
    <w:p>
      <w:pPr>
        <w:spacing w:after="0" w:line="26" w:lineRule="exact"/>
        <w:rPr>
          <w:rFonts w:ascii="Arial" w:cs="Arial" w:eastAsia="Arial" w:hAnsi="Arial"/>
          <w:sz w:val="14"/>
          <w:szCs w:val="14"/>
          <w:i w:val="1"/>
          <w:iCs w:val="1"/>
          <w:color w:val="auto"/>
        </w:rPr>
      </w:pPr>
    </w:p>
    <w:p>
      <w:pPr>
        <w:ind w:left="1120" w:right="60" w:hanging="358"/>
        <w:spacing w:after="0" w:line="271" w:lineRule="auto"/>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of approximately $45.5 million related to the total fair value of acquired intangible assets and incremental depreciation of approximately $15.9 million.</w:t>
      </w:r>
    </w:p>
    <w:p>
      <w:pPr>
        <w:jc w:val="both"/>
        <w:ind w:left="1120" w:right="40" w:hanging="358"/>
        <w:spacing w:after="0" w:line="268" w:lineRule="auto"/>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expenses of  $10.7 million related to estimated legal accruals and $5.1 million in litigation and defense expenses for a regulatory lawsuit with the Consumer Financial Protection Bureau (which was previously dismissed with prejudice) and our current regulatory lawsuit with the New York Attorney General, as well as the Multi-State Attorneys’ General regulatory investigation.</w:t>
      </w:r>
    </w:p>
    <w:p>
      <w:pPr>
        <w:jc w:val="both"/>
        <w:ind w:left="1120" w:right="40" w:hanging="358"/>
        <w:spacing w:after="0" w:line="268" w:lineRule="auto"/>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incremental depreciation expense related to the acceleration of the remaining useful life of the point-of-sale system previously used by our Rent-A-Center lease-to-own stores, due to the transition to a new internally developed point-of-sale system that was deployed in the third quarter of 2024.</w:t>
      </w:r>
    </w:p>
    <w:p>
      <w:pPr>
        <w:ind w:left="1120" w:hanging="358"/>
        <w:spacing w:after="0"/>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 impairments of approximately $5.3 million and fixed assets impairments of approximately $0.6 million.</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accelerated stock compensation expense related to our letter agreement with the Company’s former Chief Executive Officer.</w:t>
      </w:r>
    </w:p>
    <w:p>
      <w:pPr>
        <w:spacing w:after="0" w:line="16" w:lineRule="exact"/>
        <w:rPr>
          <w:rFonts w:ascii="Arial" w:cs="Arial" w:eastAsia="Arial" w:hAnsi="Arial"/>
          <w:sz w:val="14"/>
          <w:szCs w:val="14"/>
          <w:i w:val="1"/>
          <w:iCs w:val="1"/>
          <w:color w:val="auto"/>
        </w:rPr>
      </w:pPr>
    </w:p>
    <w:p>
      <w:pPr>
        <w:ind w:left="1120" w:right="60" w:hanging="358"/>
        <w:spacing w:after="0" w:line="270" w:lineRule="auto"/>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stock compensation expense related to common stock issued to Acima Holdings employees under restricted stock agreements as part of the acquisition proceeds subject to vesting restrictions.</w:t>
      </w:r>
    </w:p>
    <w:p>
      <w:pPr>
        <w:ind w:left="1120" w:hanging="358"/>
        <w:spacing w:after="0"/>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transaction fees related to the Brigit acquisition.</w:t>
      </w:r>
    </w:p>
    <w:p>
      <w:pPr>
        <w:spacing w:after="0" w:line="1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includes shutdown and holding expenses related to store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0"/>
        <w:spacing w:after="0"/>
        <w:tabs>
          <w:tab w:leader="none" w:pos="970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A: RECONCILIATION OF GAAP MEASURES TO NON-GAAP MEASURES</w:t>
      </w:r>
    </w:p>
    <w:p>
      <w:pPr>
        <w:spacing w:after="0" w:line="36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Reconciliation of net earnings (loss) to Adjusted EBITDA (consolidated and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128905</wp:posOffset>
            </wp:positionV>
            <wp:extent cx="51435" cy="4457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445770"/>
                    </a:xfrm>
                    <a:prstGeom prst="rect">
                      <a:avLst/>
                    </a:prstGeom>
                    <a:noFill/>
                  </pic:spPr>
                </pic:pic>
              </a:graphicData>
            </a:graphic>
          </wp:anchor>
        </w:drawing>
      </w:r>
    </w:p>
    <w:p>
      <w:pPr>
        <w:spacing w:after="0" w:line="204"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500" w:type="dxa"/>
            <w:vAlign w:val="bottom"/>
          </w:tcPr>
          <w:p>
            <w:pPr>
              <w:jc w:val="center"/>
              <w:ind w:right="2316"/>
              <w:spacing w:after="0"/>
              <w:rPr>
                <w:sz w:val="20"/>
                <w:szCs w:val="20"/>
                <w:color w:val="auto"/>
              </w:rPr>
            </w:pPr>
            <w:r>
              <w:rPr>
                <w:rFonts w:ascii="Arial" w:cs="Arial" w:eastAsia="Arial" w:hAnsi="Arial"/>
                <w:sz w:val="15"/>
                <w:szCs w:val="15"/>
                <w:b w:val="1"/>
                <w:bCs w:val="1"/>
                <w:color w:val="auto"/>
              </w:rPr>
              <w:t>​ ​</w:t>
            </w:r>
          </w:p>
        </w:tc>
        <w:tc>
          <w:tcPr>
            <w:tcW w:w="2020" w:type="dxa"/>
            <w:vAlign w:val="bottom"/>
            <w:gridSpan w:val="3"/>
          </w:tcPr>
          <w:p>
            <w:pPr>
              <w:ind w:left="1140"/>
              <w:spacing w:after="0"/>
              <w:rPr>
                <w:sz w:val="20"/>
                <w:szCs w:val="20"/>
                <w:color w:val="auto"/>
              </w:rPr>
            </w:pPr>
            <w:r>
              <w:rPr>
                <w:rFonts w:ascii="Arial" w:cs="Arial" w:eastAsia="Arial" w:hAnsi="Arial"/>
                <w:sz w:val="15"/>
                <w:szCs w:val="15"/>
                <w:b w:val="1"/>
                <w:bCs w:val="1"/>
                <w:color w:val="auto"/>
              </w:rPr>
              <w:t>​ ​</w:t>
            </w:r>
          </w:p>
        </w:tc>
        <w:tc>
          <w:tcPr>
            <w:tcW w:w="3220" w:type="dxa"/>
            <w:vAlign w:val="bottom"/>
            <w:gridSpan w:val="4"/>
          </w:tcPr>
          <w:p>
            <w:pPr>
              <w:ind w:left="820"/>
              <w:spacing w:after="0"/>
              <w:rPr>
                <w:sz w:val="20"/>
                <w:szCs w:val="20"/>
                <w:color w:val="auto"/>
              </w:rPr>
            </w:pPr>
            <w:r>
              <w:rPr>
                <w:rFonts w:ascii="Arial" w:cs="Arial" w:eastAsia="Arial" w:hAnsi="Arial"/>
                <w:sz w:val="15"/>
                <w:szCs w:val="15"/>
                <w:b w:val="1"/>
                <w:bCs w:val="1"/>
                <w:color w:val="auto"/>
              </w:rPr>
              <w:t>Year Ended December 31, 2025</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04"/>
        </w:trPr>
        <w:tc>
          <w:tcPr>
            <w:tcW w:w="2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left="153"/>
              <w:spacing w:after="0"/>
              <w:rPr>
                <w:sz w:val="20"/>
                <w:szCs w:val="20"/>
                <w:color w:val="auto"/>
              </w:rPr>
            </w:pPr>
            <w:r>
              <w:rPr>
                <w:rFonts w:ascii="Arial" w:cs="Arial" w:eastAsia="Arial" w:hAnsi="Arial"/>
                <w:sz w:val="15"/>
                <w:szCs w:val="15"/>
                <w:b w:val="1"/>
                <w:bCs w:val="1"/>
                <w:color w:val="auto"/>
              </w:rPr>
              <w:t>Rent-A-</w:t>
            </w:r>
          </w:p>
        </w:tc>
        <w:tc>
          <w:tcPr>
            <w:tcW w:w="8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2"/>
        </w:trPr>
        <w:tc>
          <w:tcPr>
            <w:tcW w:w="2500" w:type="dxa"/>
            <w:vAlign w:val="bottom"/>
          </w:tcPr>
          <w:p>
            <w:pPr>
              <w:ind w:left="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 thousands)</w:t>
            </w:r>
          </w:p>
        </w:tc>
        <w:tc>
          <w:tcPr>
            <w:tcW w:w="2020" w:type="dxa"/>
            <w:vAlign w:val="bottom"/>
            <w:gridSpan w:val="3"/>
          </w:tcPr>
          <w:p>
            <w:pPr>
              <w:ind w:left="1200"/>
              <w:spacing w:after="0"/>
              <w:rPr>
                <w:sz w:val="20"/>
                <w:szCs w:val="20"/>
                <w:color w:val="auto"/>
              </w:rPr>
            </w:pPr>
            <w:r>
              <w:rPr>
                <w:rFonts w:ascii="Arial" w:cs="Arial" w:eastAsia="Arial" w:hAnsi="Arial"/>
                <w:sz w:val="15"/>
                <w:szCs w:val="15"/>
                <w:b w:val="1"/>
                <w:bCs w:val="1"/>
                <w:color w:val="auto"/>
              </w:rPr>
              <w:t>​ ​  Acima</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 ​ Center</w:t>
            </w:r>
          </w:p>
        </w:tc>
        <w:tc>
          <w:tcPr>
            <w:tcW w:w="800" w:type="dxa"/>
            <w:vAlign w:val="bottom"/>
          </w:tcPr>
          <w:p>
            <w:pPr>
              <w:jc w:val="right"/>
              <w:ind w:right="20"/>
              <w:spacing w:after="0"/>
              <w:rPr>
                <w:sz w:val="20"/>
                <w:szCs w:val="20"/>
                <w:color w:val="auto"/>
              </w:rPr>
            </w:pPr>
            <w:r>
              <w:rPr>
                <w:rFonts w:ascii="Arial" w:cs="Arial" w:eastAsia="Arial" w:hAnsi="Arial"/>
                <w:sz w:val="15"/>
                <w:szCs w:val="15"/>
                <w:b w:val="1"/>
                <w:bCs w:val="1"/>
                <w:color w:val="auto"/>
              </w:rPr>
              <w:t>​ ​ Brigit</w:t>
            </w:r>
          </w:p>
        </w:tc>
        <w:tc>
          <w:tcPr>
            <w:tcW w:w="3020" w:type="dxa"/>
            <w:vAlign w:val="bottom"/>
            <w:gridSpan w:val="6"/>
          </w:tcPr>
          <w:p>
            <w:pPr>
              <w:jc w:val="right"/>
              <w:spacing w:after="0"/>
              <w:rPr>
                <w:sz w:val="20"/>
                <w:szCs w:val="20"/>
                <w:color w:val="auto"/>
              </w:rPr>
            </w:pPr>
            <w:r>
              <w:rPr>
                <w:rFonts w:ascii="Arial" w:cs="Arial" w:eastAsia="Arial" w:hAnsi="Arial"/>
                <w:sz w:val="15"/>
                <w:szCs w:val="15"/>
                <w:b w:val="1"/>
                <w:bCs w:val="1"/>
                <w:color w:val="auto"/>
              </w:rPr>
              <w:t>​ ​ Mexico ​ ​Corporate ​ ​Consolidated ​</w:t>
            </w:r>
          </w:p>
        </w:tc>
      </w:tr>
      <w:tr>
        <w:trPr>
          <w:trHeight w:val="169"/>
        </w:trPr>
        <w:tc>
          <w:tcPr>
            <w:tcW w:w="2500" w:type="dxa"/>
            <w:vAlign w:val="bottom"/>
            <w:tcBorders>
              <w:top w:val="single" w:sz="8" w:color="E5E5E5"/>
            </w:tcBorders>
            <w:shd w:val="clear" w:color="auto" w:fill="E5E5E5"/>
          </w:tcPr>
          <w:p>
            <w:pPr>
              <w:ind w:left="80"/>
              <w:spacing w:after="0" w:line="169" w:lineRule="exact"/>
              <w:rPr>
                <w:sz w:val="20"/>
                <w:szCs w:val="20"/>
                <w:color w:val="auto"/>
              </w:rPr>
            </w:pPr>
            <w:r>
              <w:rPr>
                <w:rFonts w:ascii="Arial" w:cs="Arial" w:eastAsia="Arial" w:hAnsi="Arial"/>
                <w:sz w:val="15"/>
                <w:szCs w:val="15"/>
                <w:color w:val="auto"/>
              </w:rPr>
              <w:t>Net earnings (loss)</w:t>
            </w:r>
          </w:p>
        </w:tc>
        <w:tc>
          <w:tcPr>
            <w:tcW w:w="1240" w:type="dxa"/>
            <w:vAlign w:val="bottom"/>
            <w:tcBorders>
              <w:top w:val="single" w:sz="8" w:color="E5E5E5"/>
            </w:tcBorders>
            <w:shd w:val="clear" w:color="auto" w:fill="E5E5E5"/>
          </w:tcPr>
          <w:p>
            <w:pPr>
              <w:spacing w:after="0"/>
              <w:rPr>
                <w:sz w:val="14"/>
                <w:szCs w:val="14"/>
                <w:color w:val="auto"/>
              </w:rPr>
            </w:pPr>
          </w:p>
        </w:tc>
        <w:tc>
          <w:tcPr>
            <w:tcW w:w="780" w:type="dxa"/>
            <w:vAlign w:val="bottom"/>
            <w:tcBorders>
              <w:top w:val="single" w:sz="8" w:color="auto"/>
            </w:tcBorders>
            <w:gridSpan w:val="2"/>
            <w:shd w:val="clear" w:color="auto" w:fill="E5E5E5"/>
          </w:tcPr>
          <w:p>
            <w:pPr>
              <w:jc w:val="right"/>
              <w:spacing w:after="0" w:line="169" w:lineRule="exact"/>
              <w:rPr>
                <w:sz w:val="20"/>
                <w:szCs w:val="20"/>
                <w:color w:val="auto"/>
              </w:rPr>
            </w:pPr>
            <w:r>
              <w:rPr>
                <w:rFonts w:ascii="Arial" w:cs="Arial" w:eastAsia="Arial" w:hAnsi="Arial"/>
                <w:sz w:val="15"/>
                <w:szCs w:val="15"/>
                <w:color w:val="auto"/>
              </w:rPr>
              <w:t>$294,971</w:t>
            </w:r>
          </w:p>
        </w:tc>
        <w:tc>
          <w:tcPr>
            <w:tcW w:w="860" w:type="dxa"/>
            <w:vAlign w:val="bottom"/>
            <w:tcBorders>
              <w:top w:val="single" w:sz="8" w:color="auto"/>
            </w:tcBorders>
            <w:shd w:val="clear" w:color="auto" w:fill="E5E5E5"/>
          </w:tcPr>
          <w:p>
            <w:pPr>
              <w:jc w:val="right"/>
              <w:spacing w:after="0" w:line="169" w:lineRule="exact"/>
              <w:rPr>
                <w:sz w:val="20"/>
                <w:szCs w:val="20"/>
                <w:color w:val="auto"/>
              </w:rPr>
            </w:pPr>
            <w:r>
              <w:rPr>
                <w:rFonts w:ascii="Arial" w:cs="Arial" w:eastAsia="Arial" w:hAnsi="Arial"/>
                <w:sz w:val="15"/>
                <w:szCs w:val="15"/>
                <w:color w:val="auto"/>
              </w:rPr>
              <w:t>$249,521</w:t>
            </w:r>
          </w:p>
        </w:tc>
        <w:tc>
          <w:tcPr>
            <w:tcW w:w="800" w:type="dxa"/>
            <w:vAlign w:val="bottom"/>
            <w:tcBorders>
              <w:top w:val="single" w:sz="8" w:color="auto"/>
            </w:tcBorders>
            <w:shd w:val="clear" w:color="auto" w:fill="E5E5E5"/>
          </w:tcPr>
          <w:p>
            <w:pPr>
              <w:jc w:val="right"/>
              <w:spacing w:after="0" w:line="169" w:lineRule="exact"/>
              <w:rPr>
                <w:sz w:val="20"/>
                <w:szCs w:val="20"/>
                <w:color w:val="auto"/>
              </w:rPr>
            </w:pPr>
            <w:r>
              <w:rPr>
                <w:rFonts w:ascii="Arial" w:cs="Arial" w:eastAsia="Arial" w:hAnsi="Arial"/>
                <w:sz w:val="15"/>
                <w:szCs w:val="15"/>
                <w:color w:val="auto"/>
              </w:rPr>
              <w:t>$30,656</w:t>
            </w:r>
          </w:p>
        </w:tc>
        <w:tc>
          <w:tcPr>
            <w:tcW w:w="760" w:type="dxa"/>
            <w:vAlign w:val="bottom"/>
            <w:tcBorders>
              <w:top w:val="single" w:sz="8" w:color="auto"/>
            </w:tcBorders>
            <w:shd w:val="clear" w:color="auto" w:fill="E5E5E5"/>
          </w:tcPr>
          <w:p>
            <w:pPr>
              <w:jc w:val="right"/>
              <w:spacing w:after="0" w:line="169" w:lineRule="exact"/>
              <w:rPr>
                <w:sz w:val="20"/>
                <w:szCs w:val="20"/>
                <w:color w:val="auto"/>
              </w:rPr>
            </w:pPr>
            <w:r>
              <w:rPr>
                <w:rFonts w:ascii="Arial" w:cs="Arial" w:eastAsia="Arial" w:hAnsi="Arial"/>
                <w:sz w:val="15"/>
                <w:szCs w:val="15"/>
                <w:color w:val="auto"/>
              </w:rPr>
              <w:t>$5,450</w:t>
            </w:r>
          </w:p>
        </w:tc>
        <w:tc>
          <w:tcPr>
            <w:tcW w:w="1320" w:type="dxa"/>
            <w:vAlign w:val="bottom"/>
            <w:tcBorders>
              <w:top w:val="single" w:sz="8" w:color="auto"/>
            </w:tcBorders>
            <w:gridSpan w:val="2"/>
            <w:shd w:val="clear" w:color="auto" w:fill="E5E5E5"/>
          </w:tcPr>
          <w:p>
            <w:pPr>
              <w:jc w:val="right"/>
              <w:ind w:right="273"/>
              <w:spacing w:after="0" w:line="169" w:lineRule="exact"/>
              <w:rPr>
                <w:sz w:val="20"/>
                <w:szCs w:val="20"/>
                <w:color w:val="auto"/>
              </w:rPr>
            </w:pPr>
            <w:r>
              <w:rPr>
                <w:rFonts w:ascii="Arial" w:cs="Arial" w:eastAsia="Arial" w:hAnsi="Arial"/>
                <w:sz w:val="15"/>
                <w:szCs w:val="15"/>
                <w:color w:val="auto"/>
              </w:rPr>
              <w:t>$(507,356)</w:t>
            </w:r>
          </w:p>
        </w:tc>
        <w:tc>
          <w:tcPr>
            <w:tcW w:w="320" w:type="dxa"/>
            <w:vAlign w:val="bottom"/>
            <w:tcBorders>
              <w:top w:val="single" w:sz="8" w:color="auto"/>
            </w:tcBorders>
            <w:shd w:val="clear" w:color="auto" w:fill="E5E5E5"/>
          </w:tcPr>
          <w:p>
            <w:pPr>
              <w:ind w:left="180"/>
              <w:spacing w:after="0" w:line="169"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gridSpan w:val="2"/>
            <w:shd w:val="clear" w:color="auto" w:fill="E5E5E5"/>
          </w:tcPr>
          <w:p>
            <w:pPr>
              <w:jc w:val="right"/>
              <w:ind w:right="68"/>
              <w:spacing w:after="0" w:line="169" w:lineRule="exact"/>
              <w:rPr>
                <w:sz w:val="20"/>
                <w:szCs w:val="20"/>
                <w:color w:val="auto"/>
              </w:rPr>
            </w:pPr>
            <w:r>
              <w:rPr>
                <w:rFonts w:ascii="Arial" w:cs="Arial" w:eastAsia="Arial" w:hAnsi="Arial"/>
                <w:sz w:val="15"/>
                <w:szCs w:val="15"/>
                <w:color w:val="auto"/>
              </w:rPr>
              <w:t>73,242</w:t>
            </w:r>
          </w:p>
        </w:tc>
      </w:tr>
      <w:tr>
        <w:trPr>
          <w:trHeight w:val="54"/>
        </w:trPr>
        <w:tc>
          <w:tcPr>
            <w:tcW w:w="2500" w:type="dxa"/>
            <w:vAlign w:val="bottom"/>
            <w:shd w:val="clear" w:color="auto" w:fill="E5E5E5"/>
          </w:tcPr>
          <w:p>
            <w:pPr>
              <w:jc w:val="center"/>
              <w:ind w:right="2316"/>
              <w:spacing w:after="0" w:line="54" w:lineRule="exact"/>
              <w:rPr>
                <w:sz w:val="20"/>
                <w:szCs w:val="20"/>
                <w:color w:val="auto"/>
              </w:rPr>
            </w:pPr>
            <w:r>
              <w:rPr>
                <w:rFonts w:ascii="Arial" w:cs="Arial" w:eastAsia="Arial" w:hAnsi="Arial"/>
                <w:sz w:val="5"/>
                <w:szCs w:val="5"/>
                <w:color w:val="auto"/>
              </w:rPr>
              <w:t>​</w:t>
            </w:r>
          </w:p>
        </w:tc>
        <w:tc>
          <w:tcPr>
            <w:tcW w:w="2020" w:type="dxa"/>
            <w:vAlign w:val="bottom"/>
            <w:gridSpan w:val="3"/>
            <w:shd w:val="clear" w:color="auto" w:fill="E5E5E5"/>
          </w:tcPr>
          <w:p>
            <w:pPr>
              <w:ind w:left="1200"/>
              <w:spacing w:after="0" w:line="54" w:lineRule="exact"/>
              <w:rPr>
                <w:sz w:val="20"/>
                <w:szCs w:val="20"/>
                <w:color w:val="auto"/>
              </w:rPr>
            </w:pPr>
            <w:r>
              <w:rPr>
                <w:rFonts w:ascii="Arial" w:cs="Arial" w:eastAsia="Arial" w:hAnsi="Arial"/>
                <w:sz w:val="5"/>
                <w:szCs w:val="5"/>
                <w:color w:val="auto"/>
              </w:rPr>
              <w:t>​ ​​</w:t>
            </w:r>
          </w:p>
        </w:tc>
        <w:tc>
          <w:tcPr>
            <w:tcW w:w="86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w:t>
            </w:r>
          </w:p>
        </w:tc>
        <w:tc>
          <w:tcPr>
            <w:tcW w:w="800" w:type="dxa"/>
            <w:vAlign w:val="bottom"/>
            <w:shd w:val="clear" w:color="auto" w:fill="E5E5E5"/>
          </w:tcPr>
          <w:p>
            <w:pPr>
              <w:jc w:val="right"/>
              <w:ind w:right="460"/>
              <w:spacing w:after="0" w:line="54" w:lineRule="exact"/>
              <w:rPr>
                <w:sz w:val="20"/>
                <w:szCs w:val="20"/>
                <w:color w:val="auto"/>
              </w:rPr>
            </w:pPr>
            <w:r>
              <w:rPr>
                <w:rFonts w:ascii="Arial" w:cs="Arial" w:eastAsia="Arial" w:hAnsi="Arial"/>
                <w:sz w:val="5"/>
                <w:szCs w:val="5"/>
                <w:color w:val="auto"/>
              </w:rPr>
              <w:t>​​ ​​</w:t>
            </w:r>
          </w:p>
        </w:tc>
        <w:tc>
          <w:tcPr>
            <w:tcW w:w="760" w:type="dxa"/>
            <w:vAlign w:val="bottom"/>
            <w:shd w:val="clear" w:color="auto" w:fill="E5E5E5"/>
          </w:tcPr>
          <w:p>
            <w:pPr>
              <w:jc w:val="right"/>
              <w:ind w:right="380"/>
              <w:spacing w:after="0" w:line="54" w:lineRule="exact"/>
              <w:rPr>
                <w:sz w:val="20"/>
                <w:szCs w:val="20"/>
                <w:color w:val="auto"/>
              </w:rPr>
            </w:pPr>
            <w:r>
              <w:rPr>
                <w:rFonts w:ascii="Arial" w:cs="Arial" w:eastAsia="Arial" w:hAnsi="Arial"/>
                <w:sz w:val="5"/>
                <w:szCs w:val="5"/>
                <w:color w:val="auto"/>
              </w:rPr>
              <w:t>​​ ​ ​</w:t>
            </w:r>
          </w:p>
        </w:tc>
        <w:tc>
          <w:tcPr>
            <w:tcW w:w="80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 ​</w:t>
            </w:r>
          </w:p>
        </w:tc>
        <w:tc>
          <w:tcPr>
            <w:tcW w:w="520" w:type="dxa"/>
            <w:vAlign w:val="bottom"/>
            <w:shd w:val="clear" w:color="auto" w:fill="E5E5E5"/>
          </w:tcPr>
          <w:p>
            <w:pPr>
              <w:jc w:val="right"/>
              <w:ind w:right="133"/>
              <w:spacing w:after="0" w:line="54" w:lineRule="exact"/>
              <w:rPr>
                <w:sz w:val="20"/>
                <w:szCs w:val="20"/>
                <w:color w:val="auto"/>
              </w:rPr>
            </w:pPr>
            <w:r>
              <w:rPr>
                <w:rFonts w:ascii="Arial" w:cs="Arial" w:eastAsia="Arial" w:hAnsi="Arial"/>
                <w:sz w:val="5"/>
                <w:szCs w:val="5"/>
                <w:color w:val="auto"/>
              </w:rPr>
              <w:t>​​ ​</w:t>
            </w:r>
          </w:p>
        </w:tc>
        <w:tc>
          <w:tcPr>
            <w:tcW w:w="320" w:type="dxa"/>
            <w:vAlign w:val="bottom"/>
            <w:shd w:val="clear" w:color="auto" w:fill="E5E5E5"/>
          </w:tcPr>
          <w:p>
            <w:pPr>
              <w:ind w:left="160"/>
              <w:spacing w:after="0" w:line="54" w:lineRule="exact"/>
              <w:rPr>
                <w:sz w:val="20"/>
                <w:szCs w:val="20"/>
                <w:color w:val="auto"/>
              </w:rPr>
            </w:pPr>
            <w:r>
              <w:rPr>
                <w:rFonts w:ascii="Arial" w:cs="Arial" w:eastAsia="Arial" w:hAnsi="Arial"/>
                <w:sz w:val="5"/>
                <w:szCs w:val="5"/>
                <w:color w:val="auto"/>
              </w:rPr>
              <w:t>​</w:t>
            </w:r>
          </w:p>
        </w:tc>
        <w:tc>
          <w:tcPr>
            <w:tcW w:w="500" w:type="dxa"/>
            <w:vAlign w:val="bottom"/>
            <w:shd w:val="clear" w:color="auto" w:fill="E5E5E5"/>
          </w:tcPr>
          <w:p>
            <w:pPr>
              <w:spacing w:after="0"/>
              <w:rPr>
                <w:sz w:val="4"/>
                <w:szCs w:val="4"/>
                <w:color w:val="auto"/>
              </w:rPr>
            </w:pPr>
          </w:p>
        </w:tc>
        <w:tc>
          <w:tcPr>
            <w:tcW w:w="1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-436245</wp:posOffset>
            </wp:positionV>
            <wp:extent cx="2322830" cy="291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22830" cy="29146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3" w:lineRule="exact"/>
        <w:rPr>
          <w:sz w:val="20"/>
          <w:szCs w:val="20"/>
          <w:color w:val="auto"/>
        </w:rPr>
      </w:pPr>
    </w:p>
    <w:p>
      <w:pPr>
        <w:ind w:left="1000" w:hanging="197"/>
        <w:spacing w:after="0"/>
        <w:tabs>
          <w:tab w:leader="none" w:pos="10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Plus: Interest expense, net</w:t>
      </w:r>
    </w:p>
    <w:p>
      <w:pPr>
        <w:spacing w:after="0" w:line="57" w:lineRule="exact"/>
        <w:rPr>
          <w:rFonts w:ascii="Arial" w:cs="Arial" w:eastAsia="Arial" w:hAnsi="Arial"/>
          <w:sz w:val="15"/>
          <w:szCs w:val="15"/>
          <w:color w:val="auto"/>
        </w:rPr>
      </w:pPr>
    </w:p>
    <w:p>
      <w:pPr>
        <w:ind w:left="1000" w:hanging="197"/>
        <w:spacing w:after="0"/>
        <w:tabs>
          <w:tab w:leader="none" w:pos="10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Plus: Income tax expense</w:t>
      </w:r>
    </w:p>
    <w:p>
      <w:pPr>
        <w:spacing w:after="0" w:line="54" w:lineRule="exact"/>
        <w:rPr>
          <w:rFonts w:ascii="Arial" w:cs="Arial" w:eastAsia="Arial" w:hAnsi="Arial"/>
          <w:sz w:val="15"/>
          <w:szCs w:val="15"/>
          <w:color w:val="auto"/>
        </w:rPr>
      </w:pPr>
    </w:p>
    <w:p>
      <w:pPr>
        <w:ind w:left="1000" w:hanging="197"/>
        <w:spacing w:after="0" w:line="183" w:lineRule="auto"/>
        <w:tabs>
          <w:tab w:leader="none" w:pos="1000" w:val="left"/>
        </w:tabs>
        <w:numPr>
          <w:ilvl w:val="0"/>
          <w:numId w:val="97"/>
        </w:numPr>
        <w:rPr>
          <w:rFonts w:ascii="Arial" w:cs="Arial" w:eastAsia="Arial" w:hAnsi="Arial"/>
          <w:sz w:val="23"/>
          <w:szCs w:val="23"/>
          <w:color w:val="auto"/>
          <w:vertAlign w:val="subscript"/>
        </w:rPr>
      </w:pPr>
      <w:r>
        <w:rPr>
          <w:rFonts w:ascii="Arial" w:cs="Arial" w:eastAsia="Arial" w:hAnsi="Arial"/>
          <w:sz w:val="13"/>
          <w:szCs w:val="13"/>
          <w:color w:val="auto"/>
        </w:rPr>
        <w:t>Plus: Debt refinancing charges</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​Operating profit (loss)</w:t>
      </w:r>
    </w:p>
    <w:p>
      <w:pPr>
        <w:spacing w:after="0" w:line="57" w:lineRule="exact"/>
        <w:rPr>
          <w:sz w:val="20"/>
          <w:szCs w:val="20"/>
          <w:color w:val="auto"/>
        </w:rPr>
      </w:pPr>
    </w:p>
    <w:p>
      <w:pPr>
        <w:ind w:left="1000" w:hanging="197"/>
        <w:spacing w:after="0"/>
        <w:tabs>
          <w:tab w:leader="none" w:pos="10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Plus: Amortization, Depreciation</w:t>
      </w:r>
    </w:p>
    <w:p>
      <w:pPr>
        <w:spacing w:after="0" w:line="57" w:lineRule="exact"/>
        <w:rPr>
          <w:rFonts w:ascii="Arial" w:cs="Arial" w:eastAsia="Arial" w:hAnsi="Arial"/>
          <w:sz w:val="15"/>
          <w:szCs w:val="15"/>
          <w:color w:val="auto"/>
        </w:rPr>
      </w:pPr>
    </w:p>
    <w:p>
      <w:pPr>
        <w:ind w:left="1000" w:hanging="197"/>
        <w:spacing w:after="0"/>
        <w:tabs>
          <w:tab w:leader="none" w:pos="10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Plus: Stock-based compensation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60" w:type="dxa"/>
            <w:vAlign w:val="bottom"/>
            <w:gridSpan w:val="2"/>
          </w:tcPr>
          <w:p>
            <w:pPr>
              <w:spacing w:after="0"/>
              <w:rPr>
                <w:sz w:val="20"/>
                <w:szCs w:val="20"/>
                <w:color w:val="auto"/>
              </w:rPr>
            </w:pPr>
            <w:r>
              <w:rPr>
                <w:rFonts w:ascii="Arial" w:cs="Arial" w:eastAsia="Arial" w:hAnsi="Arial"/>
                <w:sz w:val="15"/>
                <w:szCs w:val="15"/>
                <w:color w:val="auto"/>
              </w:rPr>
              <w:t>​ ​​ ​</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 ​ ​</w:t>
            </w:r>
          </w:p>
        </w:tc>
        <w:tc>
          <w:tcPr>
            <w:tcW w:w="1000" w:type="dxa"/>
            <w:vAlign w:val="bottom"/>
            <w:gridSpan w:val="4"/>
          </w:tcPr>
          <w:p>
            <w:pPr>
              <w:jc w:val="right"/>
              <w:ind w:right="84"/>
              <w:spacing w:after="0"/>
              <w:rPr>
                <w:sz w:val="20"/>
                <w:szCs w:val="20"/>
                <w:color w:val="auto"/>
              </w:rPr>
            </w:pPr>
            <w:r>
              <w:rPr>
                <w:rFonts w:ascii="Arial" w:cs="Arial" w:eastAsia="Arial" w:hAnsi="Arial"/>
                <w:sz w:val="15"/>
                <w:szCs w:val="15"/>
                <w:color w:val="auto"/>
              </w:rPr>
              <w:t>​ 110,362​​ ​</w:t>
            </w: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 ​110,362​​</w:t>
            </w:r>
          </w:p>
        </w:tc>
        <w:tc>
          <w:tcPr>
            <w:tcW w:w="0" w:type="dxa"/>
            <w:vAlign w:val="bottom"/>
          </w:tcPr>
          <w:p>
            <w:pPr>
              <w:spacing w:after="0"/>
              <w:rPr>
                <w:sz w:val="1"/>
                <w:szCs w:val="1"/>
                <w:color w:val="auto"/>
              </w:rPr>
            </w:pPr>
          </w:p>
        </w:tc>
      </w:tr>
      <w:tr>
        <w:trPr>
          <w:trHeight w:val="230"/>
        </w:trPr>
        <w:tc>
          <w:tcPr>
            <w:tcW w:w="360" w:type="dxa"/>
            <w:vAlign w:val="bottom"/>
            <w:gridSpan w:val="2"/>
          </w:tcPr>
          <w:p>
            <w:pPr>
              <w:spacing w:after="0"/>
              <w:rPr>
                <w:sz w:val="20"/>
                <w:szCs w:val="20"/>
                <w:color w:val="auto"/>
              </w:rPr>
            </w:pPr>
            <w:r>
              <w:rPr>
                <w:rFonts w:ascii="Arial" w:cs="Arial" w:eastAsia="Arial" w:hAnsi="Arial"/>
                <w:sz w:val="15"/>
                <w:szCs w:val="15"/>
                <w:color w:val="auto"/>
              </w:rPr>
              <w:t>​ ​​ ​</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 ​ ​</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84"/>
              <w:spacing w:after="0"/>
              <w:rPr>
                <w:sz w:val="20"/>
                <w:szCs w:val="20"/>
                <w:color w:val="auto"/>
              </w:rPr>
            </w:pPr>
            <w:r>
              <w:rPr>
                <w:rFonts w:ascii="Arial" w:cs="Arial" w:eastAsia="Arial" w:hAnsi="Arial"/>
                <w:sz w:val="15"/>
                <w:szCs w:val="15"/>
                <w:color w:val="auto"/>
              </w:rPr>
              <w:t>34,849​​ ​</w:t>
            </w: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 ​ 34,849​​</w:t>
            </w:r>
          </w:p>
        </w:tc>
        <w:tc>
          <w:tcPr>
            <w:tcW w:w="0" w:type="dxa"/>
            <w:vAlign w:val="bottom"/>
          </w:tcPr>
          <w:p>
            <w:pPr>
              <w:spacing w:after="0"/>
              <w:rPr>
                <w:sz w:val="1"/>
                <w:szCs w:val="1"/>
                <w:color w:val="auto"/>
              </w:rPr>
            </w:pPr>
          </w:p>
        </w:tc>
      </w:tr>
      <w:tr>
        <w:trPr>
          <w:trHeight w:val="222"/>
        </w:trPr>
        <w:tc>
          <w:tcPr>
            <w:tcW w:w="360" w:type="dxa"/>
            <w:vAlign w:val="bottom"/>
            <w:gridSpan w:val="2"/>
          </w:tcPr>
          <w:p>
            <w:pPr>
              <w:spacing w:after="0" w:line="222"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580" w:type="dxa"/>
            <w:vAlign w:val="bottom"/>
            <w:gridSpan w:val="2"/>
          </w:tcPr>
          <w:p>
            <w:pPr>
              <w:jc w:val="right"/>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4"/>
              <w:spacing w:after="0" w:line="22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380" w:type="dxa"/>
            <w:vAlign w:val="bottom"/>
            <w:gridSpan w:val="2"/>
          </w:tcPr>
          <w:p>
            <w:pPr>
              <w:jc w:val="right"/>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 ​</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line="222" w:lineRule="exact"/>
              <w:rPr>
                <w:sz w:val="20"/>
                <w:szCs w:val="20"/>
                <w:color w:val="auto"/>
              </w:rPr>
            </w:pPr>
            <w:r>
              <w:rPr>
                <w:rFonts w:ascii="Arial" w:cs="Arial" w:eastAsia="Arial" w:hAnsi="Arial"/>
                <w:sz w:val="13"/>
                <w:szCs w:val="13"/>
                <w:color w:val="auto"/>
              </w:rPr>
              <w:t>4,894</w:t>
            </w:r>
            <w:r>
              <w:rPr>
                <w:rFonts w:ascii="Arial" w:cs="Arial" w:eastAsia="Arial" w:hAnsi="Arial"/>
                <w:sz w:val="25"/>
                <w:szCs w:val="25"/>
                <w:color w:val="auto"/>
                <w:vertAlign w:val="subscript"/>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80" w:type="dxa"/>
            <w:vAlign w:val="bottom"/>
            <w:gridSpan w:val="3"/>
          </w:tcPr>
          <w:p>
            <w:pPr>
              <w:ind w:left="160"/>
              <w:spacing w:after="0" w:line="22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540" w:type="dxa"/>
            <w:vAlign w:val="bottom"/>
            <w:gridSpan w:val="2"/>
          </w:tcPr>
          <w:p>
            <w:pPr>
              <w:jc w:val="right"/>
              <w:spacing w:after="0" w:line="222" w:lineRule="exact"/>
              <w:rPr>
                <w:sz w:val="20"/>
                <w:szCs w:val="20"/>
                <w:color w:val="auto"/>
              </w:rPr>
            </w:pPr>
            <w:r>
              <w:rPr>
                <w:rFonts w:ascii="Arial" w:cs="Arial" w:eastAsia="Arial" w:hAnsi="Arial"/>
                <w:sz w:val="13"/>
                <w:szCs w:val="13"/>
                <w:color w:val="auto"/>
              </w:rPr>
              <w:t>4,894</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vMerge w:val="restart"/>
          </w:tcPr>
          <w:p>
            <w:pPr>
              <w:spacing w:after="0"/>
              <w:rPr>
                <w:sz w:val="20"/>
                <w:szCs w:val="20"/>
                <w:color w:val="auto"/>
              </w:rPr>
            </w:pPr>
            <w:r>
              <w:rPr>
                <w:rFonts w:ascii="Arial" w:cs="Arial" w:eastAsia="Arial" w:hAnsi="Arial"/>
                <w:sz w:val="15"/>
                <w:szCs w:val="15"/>
                <w:color w:val="auto"/>
              </w:rPr>
              <w:t>​ ​​</w:t>
            </w:r>
          </w:p>
        </w:tc>
        <w:tc>
          <w:tcPr>
            <w:tcW w:w="720" w:type="dxa"/>
            <w:vAlign w:val="bottom"/>
            <w:gridSpan w:val="3"/>
          </w:tcPr>
          <w:p>
            <w:pPr>
              <w:jc w:val="right"/>
              <w:ind w:right="63"/>
              <w:spacing w:after="0" w:line="169" w:lineRule="exact"/>
              <w:rPr>
                <w:sz w:val="20"/>
                <w:szCs w:val="20"/>
                <w:color w:val="auto"/>
              </w:rPr>
            </w:pPr>
            <w:r>
              <w:rPr>
                <w:rFonts w:ascii="Arial" w:cs="Arial" w:eastAsia="Arial" w:hAnsi="Arial"/>
                <w:sz w:val="15"/>
                <w:szCs w:val="15"/>
                <w:color w:val="auto"/>
              </w:rPr>
              <w:t>​294,971</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3"/>
          </w:tcPr>
          <w:p>
            <w:pPr>
              <w:ind w:left="40"/>
              <w:spacing w:after="0" w:line="169" w:lineRule="exact"/>
              <w:rPr>
                <w:sz w:val="20"/>
                <w:szCs w:val="20"/>
                <w:color w:val="auto"/>
              </w:rPr>
            </w:pPr>
            <w:r>
              <w:rPr>
                <w:rFonts w:ascii="Arial" w:cs="Arial" w:eastAsia="Arial" w:hAnsi="Arial"/>
                <w:sz w:val="15"/>
                <w:szCs w:val="15"/>
                <w:color w:val="auto"/>
              </w:rPr>
              <w:t>​249,521</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40"/>
              <w:spacing w:after="0" w:line="169" w:lineRule="exact"/>
              <w:rPr>
                <w:sz w:val="20"/>
                <w:szCs w:val="20"/>
                <w:color w:val="auto"/>
              </w:rPr>
            </w:pPr>
            <w:r>
              <w:rPr>
                <w:rFonts w:ascii="Arial" w:cs="Arial" w:eastAsia="Arial" w:hAnsi="Arial"/>
                <w:sz w:val="15"/>
                <w:szCs w:val="15"/>
                <w:color w:val="auto"/>
                <w:w w:val="95"/>
              </w:rPr>
              <w:t>​30,656</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​5,450</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760" w:type="dxa"/>
            <w:vAlign w:val="bottom"/>
            <w:gridSpan w:val="3"/>
          </w:tcPr>
          <w:p>
            <w:pPr>
              <w:ind w:left="40"/>
              <w:spacing w:after="0" w:line="169" w:lineRule="exact"/>
              <w:rPr>
                <w:sz w:val="20"/>
                <w:szCs w:val="20"/>
                <w:color w:val="auto"/>
              </w:rPr>
            </w:pPr>
            <w:r>
              <w:rPr>
                <w:rFonts w:ascii="Arial" w:cs="Arial" w:eastAsia="Arial" w:hAnsi="Arial"/>
                <w:sz w:val="15"/>
                <w:szCs w:val="15"/>
                <w:color w:val="auto"/>
              </w:rPr>
              <w:t>​(357,251)</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tcPr>
          <w:p>
            <w:pPr>
              <w:ind w:left="16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​223,347</w:t>
            </w:r>
          </w:p>
        </w:tc>
        <w:tc>
          <w:tcPr>
            <w:tcW w:w="0" w:type="dxa"/>
            <w:vAlign w:val="bottom"/>
          </w:tcPr>
          <w:p>
            <w:pPr>
              <w:spacing w:after="0"/>
              <w:rPr>
                <w:sz w:val="1"/>
                <w:szCs w:val="1"/>
                <w:color w:val="auto"/>
              </w:rPr>
            </w:pPr>
          </w:p>
        </w:tc>
      </w:tr>
      <w:tr>
        <w:trPr>
          <w:trHeight w:val="77"/>
        </w:trPr>
        <w:tc>
          <w:tcPr>
            <w:tcW w:w="2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jc w:val="right"/>
              <w:spacing w:after="0" w:line="78" w:lineRule="exact"/>
              <w:rPr>
                <w:sz w:val="20"/>
                <w:szCs w:val="20"/>
                <w:color w:val="auto"/>
              </w:rPr>
            </w:pPr>
            <w:r>
              <w:rPr>
                <w:rFonts w:ascii="Arial" w:cs="Arial" w:eastAsia="Arial" w:hAnsi="Arial"/>
                <w:sz w:val="8"/>
                <w:szCs w:val="8"/>
                <w:color w:val="auto"/>
              </w:rPr>
              <w:t>​​</w:t>
            </w:r>
          </w:p>
        </w:tc>
        <w:tc>
          <w:tcPr>
            <w:tcW w:w="1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jc w:val="right"/>
              <w:spacing w:after="0" w:line="78" w:lineRule="exact"/>
              <w:rPr>
                <w:sz w:val="20"/>
                <w:szCs w:val="20"/>
                <w:color w:val="auto"/>
              </w:rPr>
            </w:pPr>
            <w:r>
              <w:rPr>
                <w:rFonts w:ascii="Arial" w:cs="Arial" w:eastAsia="Arial" w:hAnsi="Arial"/>
                <w:sz w:val="8"/>
                <w:szCs w:val="8"/>
                <w:color w:val="auto"/>
              </w:rPr>
              <w:t>​​</w:t>
            </w:r>
          </w:p>
        </w:tc>
        <w:tc>
          <w:tcPr>
            <w:tcW w:w="1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jc w:val="right"/>
              <w:spacing w:after="0" w:line="78"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gridSpan w:val="2"/>
          </w:tcPr>
          <w:p>
            <w:pPr>
              <w:jc w:val="right"/>
              <w:spacing w:after="0" w:line="7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27"/>
        </w:trPr>
        <w:tc>
          <w:tcPr>
            <w:tcW w:w="360" w:type="dxa"/>
            <w:vAlign w:val="bottom"/>
            <w:gridSpan w:val="2"/>
          </w:tcPr>
          <w:p>
            <w:pPr>
              <w:spacing w:after="0"/>
              <w:rPr>
                <w:sz w:val="20"/>
                <w:szCs w:val="20"/>
                <w:color w:val="auto"/>
              </w:rPr>
            </w:pPr>
            <w:r>
              <w:rPr>
                <w:rFonts w:ascii="Arial" w:cs="Arial" w:eastAsia="Arial" w:hAnsi="Arial"/>
                <w:sz w:val="15"/>
                <w:szCs w:val="15"/>
                <w:color w:val="auto"/>
              </w:rPr>
              <w:t>​ ​​ ​</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1,456​​ ​​</w:t>
            </w:r>
          </w:p>
        </w:tc>
        <w:tc>
          <w:tcPr>
            <w:tcW w:w="880" w:type="dxa"/>
            <w:vAlign w:val="bottom"/>
            <w:gridSpan w:val="4"/>
          </w:tcPr>
          <w:p>
            <w:pPr>
              <w:jc w:val="right"/>
              <w:spacing w:after="0"/>
              <w:rPr>
                <w:sz w:val="20"/>
                <w:szCs w:val="20"/>
                <w:color w:val="auto"/>
              </w:rPr>
            </w:pPr>
            <w:r>
              <w:rPr>
                <w:rFonts w:ascii="Arial" w:cs="Arial" w:eastAsia="Arial" w:hAnsi="Arial"/>
                <w:sz w:val="15"/>
                <w:szCs w:val="15"/>
                <w:color w:val="auto"/>
              </w:rPr>
              <w:t>​ 21,304​​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75​​</w:t>
            </w:r>
          </w:p>
        </w:tc>
        <w:tc>
          <w:tcPr>
            <w:tcW w:w="940" w:type="dxa"/>
            <w:vAlign w:val="bottom"/>
            <w:gridSpan w:val="6"/>
          </w:tcPr>
          <w:p>
            <w:pPr>
              <w:jc w:val="right"/>
              <w:spacing w:after="0"/>
              <w:rPr>
                <w:sz w:val="20"/>
                <w:szCs w:val="20"/>
                <w:color w:val="auto"/>
              </w:rPr>
            </w:pPr>
            <w:r>
              <w:rPr>
                <w:rFonts w:ascii="Arial" w:cs="Arial" w:eastAsia="Arial" w:hAnsi="Arial"/>
                <w:sz w:val="15"/>
                <w:szCs w:val="15"/>
                <w:color w:val="auto"/>
              </w:rPr>
              <w:t>​ ​ ​2,051​​ ​ ​</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84"/>
              <w:spacing w:after="0"/>
              <w:rPr>
                <w:sz w:val="20"/>
                <w:szCs w:val="20"/>
                <w:color w:val="auto"/>
              </w:rPr>
            </w:pPr>
            <w:r>
              <w:rPr>
                <w:rFonts w:ascii="Arial" w:cs="Arial" w:eastAsia="Arial" w:hAnsi="Arial"/>
                <w:sz w:val="15"/>
                <w:szCs w:val="15"/>
                <w:color w:val="auto"/>
              </w:rPr>
              <w:t>27,073​​ ​</w:t>
            </w: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 ​ 51,959​​</w:t>
            </w:r>
          </w:p>
        </w:tc>
        <w:tc>
          <w:tcPr>
            <w:tcW w:w="0" w:type="dxa"/>
            <w:vAlign w:val="bottom"/>
          </w:tcPr>
          <w:p>
            <w:pPr>
              <w:spacing w:after="0"/>
              <w:rPr>
                <w:sz w:val="1"/>
                <w:szCs w:val="1"/>
                <w:color w:val="auto"/>
              </w:rPr>
            </w:pPr>
          </w:p>
        </w:tc>
      </w:tr>
      <w:tr>
        <w:trPr>
          <w:trHeight w:val="227"/>
        </w:trPr>
        <w:tc>
          <w:tcPr>
            <w:tcW w:w="360" w:type="dxa"/>
            <w:vAlign w:val="bottom"/>
            <w:gridSpan w:val="2"/>
          </w:tcPr>
          <w:p>
            <w:pPr>
              <w:spacing w:after="0"/>
              <w:rPr>
                <w:sz w:val="20"/>
                <w:szCs w:val="20"/>
                <w:color w:val="auto"/>
              </w:rPr>
            </w:pPr>
            <w:r>
              <w:rPr>
                <w:rFonts w:ascii="Arial" w:cs="Arial" w:eastAsia="Arial" w:hAnsi="Arial"/>
                <w:sz w:val="15"/>
                <w:szCs w:val="15"/>
                <w:color w:val="auto"/>
              </w:rPr>
              <w:t>​ ​​ ​</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4"/>
              <w:spacing w:after="0"/>
              <w:rPr>
                <w:sz w:val="20"/>
                <w:szCs w:val="20"/>
                <w:color w:val="auto"/>
              </w:rPr>
            </w:pPr>
            <w:r>
              <w:rPr>
                <w:rFonts w:ascii="Arial" w:cs="Arial" w:eastAsia="Arial" w:hAnsi="Arial"/>
                <w:sz w:val="15"/>
                <w:szCs w:val="15"/>
                <w:color w:val="auto"/>
              </w:rPr>
              <w:t>​ ​</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 ​</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21,265​​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 ​ 21,265​​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-756920</wp:posOffset>
            </wp:positionV>
            <wp:extent cx="583755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37555" cy="14541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-156845</wp:posOffset>
            </wp:positionV>
            <wp:extent cx="583755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37555" cy="14541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-456565</wp:posOffset>
            </wp:positionV>
            <wp:extent cx="583755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37555"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40" w:space="720"/>
            <w:col w:w="5500"/>
          </w:cols>
          <w:pgMar w:left="580" w:top="97" w:right="1359" w:bottom="1440" w:gutter="0" w:footer="0" w:header="0"/>
          <w:type w:val="continuous"/>
        </w:sectPr>
      </w:pPr>
    </w:p>
    <w:p>
      <w:pPr>
        <w:ind w:left="1000" w:hanging="197"/>
        <w:spacing w:after="0" w:line="184" w:lineRule="auto"/>
        <w:tabs>
          <w:tab w:leader="none" w:pos="1000" w:val="left"/>
        </w:tabs>
        <w:numPr>
          <w:ilvl w:val="0"/>
          <w:numId w:val="99"/>
        </w:numPr>
        <w:rPr>
          <w:rFonts w:ascii="Arial" w:cs="Arial" w:eastAsia="Arial" w:hAnsi="Arial"/>
          <w:sz w:val="29"/>
          <w:szCs w:val="29"/>
          <w:color w:val="auto"/>
          <w:vertAlign w:val="subscript"/>
        </w:rPr>
      </w:pPr>
      <w:r>
        <w:rPr>
          <w:rFonts w:ascii="Arial" w:cs="Arial" w:eastAsia="Arial" w:hAnsi="Arial"/>
          <w:sz w:val="15"/>
          <w:szCs w:val="15"/>
          <w:color w:val="auto"/>
        </w:rPr>
        <w:t>Plus: Special Items</w:t>
      </w:r>
      <w:r>
        <w:rPr>
          <w:rFonts w:ascii="Arial" w:cs="Arial" w:eastAsia="Arial" w:hAnsi="Arial"/>
          <w:sz w:val="18"/>
          <w:szCs w:val="18"/>
          <w:color w:val="auto"/>
          <w:vertAlign w:val="superscript"/>
        </w:rPr>
        <w:t>(1)</w:t>
      </w:r>
    </w:p>
    <w:p>
      <w:pPr>
        <w:ind w:left="1140" w:hanging="337"/>
        <w:spacing w:after="0" w:line="181" w:lineRule="auto"/>
        <w:tabs>
          <w:tab w:leader="none" w:pos="1140" w:val="left"/>
        </w:tabs>
        <w:numPr>
          <w:ilvl w:val="0"/>
          <w:numId w:val="99"/>
        </w:numPr>
        <w:rPr>
          <w:rFonts w:ascii="Arial" w:cs="Arial" w:eastAsia="Arial" w:hAnsi="Arial"/>
          <w:sz w:val="28"/>
          <w:szCs w:val="28"/>
          <w:color w:val="auto"/>
          <w:vertAlign w:val="subscript"/>
        </w:rPr>
      </w:pPr>
      <w:r>
        <w:rPr>
          <w:rFonts w:ascii="Arial" w:cs="Arial" w:eastAsia="Arial" w:hAnsi="Arial"/>
          <w:sz w:val="14"/>
          <w:szCs w:val="14"/>
          <w:color w:val="auto"/>
        </w:rPr>
        <w:t>Legal matters</w:t>
      </w:r>
      <w:r>
        <w:rPr>
          <w:rFonts w:ascii="Arial" w:cs="Arial" w:eastAsia="Arial" w:hAnsi="Arial"/>
          <w:sz w:val="17"/>
          <w:szCs w:val="17"/>
          <w:color w:val="auto"/>
          <w:vertAlign w:val="superscript"/>
        </w:rPr>
        <w:t>(2)</w:t>
      </w:r>
    </w:p>
    <w:p>
      <w:pPr>
        <w:ind w:left="1140"/>
        <w:spacing w:after="0"/>
        <w:rPr>
          <w:rFonts w:ascii="Arial" w:cs="Arial" w:eastAsia="Arial" w:hAnsi="Arial"/>
          <w:sz w:val="28"/>
          <w:szCs w:val="28"/>
          <w:color w:val="auto"/>
          <w:vertAlign w:val="subscript"/>
        </w:rPr>
      </w:pPr>
      <w:r>
        <w:rPr>
          <w:rFonts w:ascii="Arial" w:cs="Arial" w:eastAsia="Arial" w:hAnsi="Arial"/>
          <w:sz w:val="15"/>
          <w:szCs w:val="15"/>
          <w:color w:val="auto"/>
        </w:rPr>
        <w:t>Acima acquired assets depreciation and</w:t>
      </w:r>
    </w:p>
    <w:p>
      <w:pPr>
        <w:spacing w:after="0" w:line="19" w:lineRule="exact"/>
        <w:rPr>
          <w:rFonts w:ascii="Arial" w:cs="Arial" w:eastAsia="Arial" w:hAnsi="Arial"/>
          <w:sz w:val="28"/>
          <w:szCs w:val="28"/>
          <w:color w:val="auto"/>
          <w:vertAlign w:val="subscript"/>
        </w:rPr>
      </w:pPr>
    </w:p>
    <w:p>
      <w:pPr>
        <w:ind w:left="1300" w:hanging="497"/>
        <w:spacing w:after="0" w:line="192" w:lineRule="auto"/>
        <w:tabs>
          <w:tab w:leader="none" w:pos="1300" w:val="left"/>
        </w:tabs>
        <w:numPr>
          <w:ilvl w:val="0"/>
          <w:numId w:val="99"/>
        </w:numPr>
        <w:rPr>
          <w:rFonts w:ascii="Arial" w:cs="Arial" w:eastAsia="Arial" w:hAnsi="Arial"/>
          <w:sz w:val="26"/>
          <w:szCs w:val="26"/>
          <w:color w:val="auto"/>
          <w:vertAlign w:val="subscript"/>
        </w:rPr>
      </w:pPr>
      <w:r>
        <w:rPr>
          <w:rFonts w:ascii="Arial" w:cs="Arial" w:eastAsia="Arial" w:hAnsi="Arial"/>
          <w:sz w:val="14"/>
          <w:szCs w:val="14"/>
          <w:color w:val="auto"/>
        </w:rPr>
        <w:t>amortization</w:t>
      </w:r>
      <w:r>
        <w:rPr>
          <w:rFonts w:ascii="Arial" w:cs="Arial" w:eastAsia="Arial" w:hAnsi="Arial"/>
          <w:sz w:val="17"/>
          <w:szCs w:val="17"/>
          <w:color w:val="auto"/>
          <w:vertAlign w:val="superscript"/>
        </w:rPr>
        <w:t>(3)</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Brigit acquired assets depreciation and</w:t>
      </w:r>
    </w:p>
    <w:p>
      <w:pPr>
        <w:ind w:left="1300" w:hanging="497"/>
        <w:spacing w:after="0" w:line="180" w:lineRule="auto"/>
        <w:tabs>
          <w:tab w:leader="none" w:pos="1300" w:val="left"/>
        </w:tabs>
        <w:numPr>
          <w:ilvl w:val="0"/>
          <w:numId w:val="100"/>
        </w:numPr>
        <w:rPr>
          <w:rFonts w:ascii="Arial" w:cs="Arial" w:eastAsia="Arial" w:hAnsi="Arial"/>
          <w:sz w:val="31"/>
          <w:szCs w:val="31"/>
          <w:color w:val="auto"/>
          <w:vertAlign w:val="subscript"/>
        </w:rPr>
      </w:pPr>
      <w:r>
        <w:rPr>
          <w:rFonts w:ascii="Arial" w:cs="Arial" w:eastAsia="Arial" w:hAnsi="Arial"/>
          <w:sz w:val="15"/>
          <w:szCs w:val="15"/>
          <w:color w:val="auto"/>
        </w:rPr>
        <w:t>amortization</w:t>
      </w:r>
      <w:r>
        <w:rPr>
          <w:rFonts w:ascii="Arial" w:cs="Arial" w:eastAsia="Arial" w:hAnsi="Arial"/>
          <w:sz w:val="19"/>
          <w:szCs w:val="19"/>
          <w:color w:val="auto"/>
          <w:vertAlign w:val="superscript"/>
        </w:rPr>
        <w:t>(4)</w:t>
      </w:r>
    </w:p>
    <w:p>
      <w:pPr>
        <w:ind w:left="1140" w:right="260" w:hanging="337"/>
        <w:spacing w:after="0" w:line="209" w:lineRule="auto"/>
        <w:tabs>
          <w:tab w:leader="none" w:pos="1140" w:val="left"/>
        </w:tabs>
        <w:numPr>
          <w:ilvl w:val="0"/>
          <w:numId w:val="100"/>
        </w:numPr>
        <w:rPr>
          <w:rFonts w:ascii="Arial" w:cs="Arial" w:eastAsia="Arial" w:hAnsi="Arial"/>
          <w:sz w:val="31"/>
          <w:szCs w:val="31"/>
          <w:color w:val="auto"/>
          <w:vertAlign w:val="subscript"/>
        </w:rPr>
      </w:pPr>
      <w:r>
        <w:rPr>
          <w:rFonts w:ascii="Arial" w:cs="Arial" w:eastAsia="Arial" w:hAnsi="Arial"/>
          <w:sz w:val="15"/>
          <w:szCs w:val="15"/>
          <w:color w:val="auto"/>
        </w:rPr>
        <w:t>Brigit equity consideration vesting</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Brigit replacement awards and other</w:t>
      </w:r>
    </w:p>
    <w:p>
      <w:pPr>
        <w:spacing w:after="0" w:line="1" w:lineRule="exact"/>
        <w:rPr>
          <w:rFonts w:ascii="Arial" w:cs="Arial" w:eastAsia="Arial" w:hAnsi="Arial"/>
          <w:sz w:val="31"/>
          <w:szCs w:val="31"/>
          <w:color w:val="auto"/>
          <w:vertAlign w:val="subscript"/>
        </w:rPr>
      </w:pPr>
    </w:p>
    <w:p>
      <w:pPr>
        <w:ind w:left="1300" w:hanging="497"/>
        <w:spacing w:after="0" w:line="192" w:lineRule="auto"/>
        <w:tabs>
          <w:tab w:leader="none" w:pos="1300" w:val="left"/>
        </w:tabs>
        <w:numPr>
          <w:ilvl w:val="0"/>
          <w:numId w:val="100"/>
        </w:numPr>
        <w:rPr>
          <w:rFonts w:ascii="Arial" w:cs="Arial" w:eastAsia="Arial" w:hAnsi="Arial"/>
          <w:sz w:val="26"/>
          <w:szCs w:val="26"/>
          <w:color w:val="auto"/>
          <w:vertAlign w:val="subscript"/>
        </w:rPr>
      </w:pPr>
      <w:r>
        <w:rPr>
          <w:rFonts w:ascii="Arial" w:cs="Arial" w:eastAsia="Arial" w:hAnsi="Arial"/>
          <w:sz w:val="14"/>
          <w:szCs w:val="14"/>
          <w:color w:val="auto"/>
        </w:rPr>
        <w:t>compensation</w:t>
      </w:r>
      <w:r>
        <w:rPr>
          <w:rFonts w:ascii="Arial" w:cs="Arial" w:eastAsia="Arial" w:hAnsi="Arial"/>
          <w:sz w:val="17"/>
          <w:szCs w:val="17"/>
          <w:color w:val="auto"/>
          <w:vertAlign w:val="superscript"/>
        </w:rPr>
        <w:t>(6)</w:t>
      </w:r>
    </w:p>
    <w:p>
      <w:pPr>
        <w:ind w:left="1140" w:hanging="337"/>
        <w:spacing w:after="0" w:line="181" w:lineRule="auto"/>
        <w:tabs>
          <w:tab w:leader="none" w:pos="1140" w:val="left"/>
        </w:tabs>
        <w:numPr>
          <w:ilvl w:val="0"/>
          <w:numId w:val="100"/>
        </w:numPr>
        <w:rPr>
          <w:rFonts w:ascii="Arial" w:cs="Arial" w:eastAsia="Arial" w:hAnsi="Arial"/>
          <w:sz w:val="31"/>
          <w:szCs w:val="31"/>
          <w:color w:val="auto"/>
          <w:vertAlign w:val="subscript"/>
        </w:rPr>
      </w:pPr>
      <w:r>
        <w:rPr>
          <w:rFonts w:ascii="Arial" w:cs="Arial" w:eastAsia="Arial" w:hAnsi="Arial"/>
          <w:sz w:val="15"/>
          <w:szCs w:val="15"/>
          <w:color w:val="auto"/>
        </w:rPr>
        <w:t>Asset impairments</w:t>
      </w:r>
      <w:r>
        <w:rPr>
          <w:rFonts w:ascii="Arial" w:cs="Arial" w:eastAsia="Arial" w:hAnsi="Arial"/>
          <w:sz w:val="19"/>
          <w:szCs w:val="19"/>
          <w:color w:val="auto"/>
          <w:vertAlign w:val="superscript"/>
        </w:rPr>
        <w:t>(7)</w:t>
      </w:r>
    </w:p>
    <w:p>
      <w:pPr>
        <w:spacing w:after="0" w:line="6" w:lineRule="exact"/>
        <w:rPr>
          <w:rFonts w:ascii="Arial" w:cs="Arial" w:eastAsia="Arial" w:hAnsi="Arial"/>
          <w:sz w:val="31"/>
          <w:szCs w:val="31"/>
          <w:color w:val="auto"/>
          <w:vertAlign w:val="subscript"/>
        </w:rPr>
      </w:pPr>
    </w:p>
    <w:p>
      <w:pPr>
        <w:ind w:left="1140" w:hanging="337"/>
        <w:spacing w:after="0"/>
        <w:tabs>
          <w:tab w:leader="none" w:pos="11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Brigit transaction costs</w:t>
      </w:r>
    </w:p>
    <w:p>
      <w:pPr>
        <w:spacing w:after="0" w:line="54" w:lineRule="exact"/>
        <w:rPr>
          <w:rFonts w:ascii="Arial" w:cs="Arial" w:eastAsia="Arial" w:hAnsi="Arial"/>
          <w:sz w:val="15"/>
          <w:szCs w:val="15"/>
          <w:color w:val="auto"/>
        </w:rPr>
      </w:pPr>
    </w:p>
    <w:p>
      <w:pPr>
        <w:ind w:left="1140" w:hanging="337"/>
        <w:spacing w:after="0" w:line="185" w:lineRule="auto"/>
        <w:tabs>
          <w:tab w:leader="none" w:pos="1140" w:val="left"/>
        </w:tabs>
        <w:numPr>
          <w:ilvl w:val="0"/>
          <w:numId w:val="100"/>
        </w:numPr>
        <w:rPr>
          <w:rFonts w:ascii="Arial" w:cs="Arial" w:eastAsia="Arial" w:hAnsi="Arial"/>
          <w:sz w:val="30"/>
          <w:szCs w:val="30"/>
          <w:color w:val="auto"/>
          <w:vertAlign w:val="subscript"/>
        </w:rPr>
      </w:pPr>
      <w:r>
        <w:rPr>
          <w:rFonts w:ascii="Arial" w:cs="Arial" w:eastAsia="Arial" w:hAnsi="Arial"/>
          <w:sz w:val="15"/>
          <w:szCs w:val="15"/>
          <w:color w:val="auto"/>
        </w:rPr>
        <w:t>Accelerated stock compensation</w:t>
      </w:r>
      <w:r>
        <w:rPr>
          <w:rFonts w:ascii="Arial" w:cs="Arial" w:eastAsia="Arial" w:hAnsi="Arial"/>
          <w:sz w:val="18"/>
          <w:szCs w:val="18"/>
          <w:color w:val="auto"/>
          <w:vertAlign w:val="superscript"/>
        </w:rPr>
        <w:t>(8)</w:t>
      </w:r>
    </w:p>
    <w:p>
      <w:pPr>
        <w:ind w:left="1140" w:hanging="337"/>
        <w:spacing w:after="0" w:line="184" w:lineRule="auto"/>
        <w:tabs>
          <w:tab w:leader="none" w:pos="1140" w:val="left"/>
        </w:tabs>
        <w:numPr>
          <w:ilvl w:val="0"/>
          <w:numId w:val="100"/>
        </w:numPr>
        <w:rPr>
          <w:rFonts w:ascii="Arial" w:cs="Arial" w:eastAsia="Arial" w:hAnsi="Arial"/>
          <w:sz w:val="26"/>
          <w:szCs w:val="26"/>
          <w:color w:val="auto"/>
          <w:vertAlign w:val="subscript"/>
        </w:rPr>
      </w:pPr>
      <w:r>
        <w:rPr>
          <w:rFonts w:ascii="Arial" w:cs="Arial" w:eastAsia="Arial" w:hAnsi="Arial"/>
          <w:sz w:val="14"/>
          <w:szCs w:val="14"/>
          <w:color w:val="auto"/>
        </w:rPr>
        <w:t>Other</w:t>
      </w:r>
      <w:r>
        <w:rPr>
          <w:rFonts w:ascii="Arial" w:cs="Arial" w:eastAsia="Arial" w:hAnsi="Arial"/>
          <w:sz w:val="17"/>
          <w:szCs w:val="17"/>
          <w:color w:val="auto"/>
          <w:vertAlign w:val="superscript"/>
        </w:rPr>
        <w:t>(9)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3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 ​</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76,439​​ ​</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 ​ 76,439​​</w:t>
            </w:r>
          </w:p>
        </w:tc>
        <w:tc>
          <w:tcPr>
            <w:tcW w:w="0" w:type="dxa"/>
            <w:vAlign w:val="bottom"/>
          </w:tcPr>
          <w:p>
            <w:pPr>
              <w:spacing w:after="0"/>
              <w:rPr>
                <w:sz w:val="1"/>
                <w:szCs w:val="1"/>
                <w:color w:val="auto"/>
              </w:rPr>
            </w:pPr>
          </w:p>
        </w:tc>
      </w:tr>
      <w:tr>
        <w:trPr>
          <w:trHeight w:val="432"/>
        </w:trPr>
        <w:tc>
          <w:tcPr>
            <w:tcW w:w="1100" w:type="dxa"/>
            <w:vAlign w:val="bottom"/>
            <w:gridSpan w:val="4"/>
          </w:tcPr>
          <w:p>
            <w:pPr>
              <w:jc w:val="right"/>
              <w:spacing w:after="0"/>
              <w:rPr>
                <w:sz w:val="20"/>
                <w:szCs w:val="20"/>
                <w:color w:val="auto"/>
              </w:rPr>
            </w:pPr>
            <w:r>
              <w:rPr>
                <w:rFonts w:ascii="Arial" w:cs="Arial" w:eastAsia="Arial" w:hAnsi="Arial"/>
                <w:sz w:val="15"/>
                <w:szCs w:val="15"/>
                <w:color w:val="auto"/>
              </w:rPr>
              <w:t>​ ​​ ​ 43,714​​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15,886​​ ​</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 ​ 59,600​​</w:t>
            </w:r>
          </w:p>
        </w:tc>
        <w:tc>
          <w:tcPr>
            <w:tcW w:w="0" w:type="dxa"/>
            <w:vAlign w:val="bottom"/>
          </w:tcPr>
          <w:p>
            <w:pPr>
              <w:spacing w:after="0"/>
              <w:rPr>
                <w:sz w:val="1"/>
                <w:szCs w:val="1"/>
                <w:color w:val="auto"/>
              </w:rPr>
            </w:pPr>
          </w:p>
        </w:tc>
      </w:tr>
      <w:tr>
        <w:trPr>
          <w:trHeight w:val="446"/>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​14,267​​</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8,525​​ ​</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 ​ 22,792​​</w:t>
            </w:r>
          </w:p>
        </w:tc>
        <w:tc>
          <w:tcPr>
            <w:tcW w:w="0" w:type="dxa"/>
            <w:vAlign w:val="bottom"/>
          </w:tcPr>
          <w:p>
            <w:pPr>
              <w:spacing w:after="0"/>
              <w:rPr>
                <w:sz w:val="1"/>
                <w:szCs w:val="1"/>
                <w:color w:val="auto"/>
              </w:rPr>
            </w:pPr>
          </w:p>
        </w:tc>
      </w:tr>
      <w:tr>
        <w:trPr>
          <w:trHeight w:val="257"/>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19,997​​ ​</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 ​ 19,997​​</w:t>
            </w:r>
          </w:p>
        </w:tc>
        <w:tc>
          <w:tcPr>
            <w:tcW w:w="0" w:type="dxa"/>
            <w:vAlign w:val="bottom"/>
          </w:tcPr>
          <w:p>
            <w:pPr>
              <w:spacing w:after="0"/>
              <w:rPr>
                <w:sz w:val="1"/>
                <w:szCs w:val="1"/>
                <w:color w:val="auto"/>
              </w:rPr>
            </w:pPr>
          </w:p>
        </w:tc>
      </w:tr>
      <w:tr>
        <w:trPr>
          <w:trHeight w:val="445"/>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 1,183​​</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13,130​​ ​</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 ​ 14,313​​</w:t>
            </w:r>
          </w:p>
        </w:tc>
        <w:tc>
          <w:tcPr>
            <w:tcW w:w="0" w:type="dxa"/>
            <w:vAlign w:val="bottom"/>
          </w:tcPr>
          <w:p>
            <w:pPr>
              <w:spacing w:after="0"/>
              <w:rPr>
                <w:sz w:val="1"/>
                <w:szCs w:val="1"/>
                <w:color w:val="auto"/>
              </w:rPr>
            </w:pPr>
          </w:p>
        </w:tc>
      </w:tr>
      <w:tr>
        <w:trPr>
          <w:trHeight w:val="270"/>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 12,757​​ ​​</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206​​ ​</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 ​ 12,963​​</w:t>
            </w:r>
          </w:p>
        </w:tc>
        <w:tc>
          <w:tcPr>
            <w:tcW w:w="0" w:type="dxa"/>
            <w:vAlign w:val="bottom"/>
          </w:tcPr>
          <w:p>
            <w:pPr>
              <w:spacing w:after="0"/>
              <w:rPr>
                <w:sz w:val="1"/>
                <w:szCs w:val="1"/>
                <w:color w:val="auto"/>
              </w:rPr>
            </w:pPr>
          </w:p>
        </w:tc>
      </w:tr>
      <w:tr>
        <w:trPr>
          <w:trHeight w:val="243"/>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6,685​​ ​</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580" w:type="dxa"/>
            <w:vAlign w:val="bottom"/>
          </w:tcPr>
          <w:p>
            <w:pPr>
              <w:jc w:val="right"/>
              <w:spacing w:after="0"/>
              <w:rPr>
                <w:sz w:val="20"/>
                <w:szCs w:val="20"/>
                <w:color w:val="auto"/>
              </w:rPr>
            </w:pPr>
            <w:r>
              <w:rPr>
                <w:rFonts w:ascii="Arial" w:cs="Arial" w:eastAsia="Arial" w:hAnsi="Arial"/>
                <w:sz w:val="15"/>
                <w:szCs w:val="15"/>
                <w:color w:val="auto"/>
              </w:rPr>
              <w:t>6,685​​</w:t>
            </w:r>
          </w:p>
        </w:tc>
        <w:tc>
          <w:tcPr>
            <w:tcW w:w="0" w:type="dxa"/>
            <w:vAlign w:val="bottom"/>
          </w:tcPr>
          <w:p>
            <w:pPr>
              <w:spacing w:after="0"/>
              <w:rPr>
                <w:sz w:val="1"/>
                <w:szCs w:val="1"/>
                <w:color w:val="auto"/>
              </w:rPr>
            </w:pPr>
          </w:p>
        </w:tc>
      </w:tr>
      <w:tr>
        <w:trPr>
          <w:trHeight w:val="256"/>
        </w:trPr>
        <w:tc>
          <w:tcPr>
            <w:tcW w:w="480" w:type="dxa"/>
            <w:vAlign w:val="bottom"/>
            <w:gridSpan w:val="2"/>
          </w:tcPr>
          <w:p>
            <w:pPr>
              <w:jc w:val="right"/>
              <w:ind w:right="104"/>
              <w:spacing w:after="0"/>
              <w:rPr>
                <w:sz w:val="20"/>
                <w:szCs w:val="20"/>
                <w:color w:val="auto"/>
              </w:rPr>
            </w:pPr>
            <w:r>
              <w:rPr>
                <w:rFonts w:ascii="Arial" w:cs="Arial" w:eastAsia="Arial" w:hAnsi="Arial"/>
                <w:sz w:val="15"/>
                <w:szCs w:val="15"/>
                <w:color w:val="auto"/>
              </w:rPr>
              <w:t>​ ​​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4"/>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1,599​​ ​</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580" w:type="dxa"/>
            <w:vAlign w:val="bottom"/>
          </w:tcPr>
          <w:p>
            <w:pPr>
              <w:jc w:val="right"/>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line="168" w:lineRule="exact"/>
              <w:rPr>
                <w:sz w:val="20"/>
                <w:szCs w:val="20"/>
                <w:color w:val="auto"/>
              </w:rPr>
            </w:pPr>
            <w:r>
              <w:rPr>
                <w:rFonts w:ascii="Arial" w:cs="Arial" w:eastAsia="Arial" w:hAnsi="Arial"/>
                <w:sz w:val="15"/>
                <w:szCs w:val="15"/>
                <w:color w:val="auto"/>
              </w:rPr>
              <w:t>​</w:t>
            </w:r>
          </w:p>
        </w:tc>
        <w:tc>
          <w:tcPr>
            <w:tcW w:w="340" w:type="dxa"/>
            <w:vAlign w:val="bottom"/>
          </w:tcPr>
          <w:p>
            <w:pPr>
              <w:ind w:left="180"/>
              <w:spacing w:after="0" w:line="168" w:lineRule="exact"/>
              <w:rPr>
                <w:sz w:val="20"/>
                <w:szCs w:val="20"/>
                <w:color w:val="auto"/>
              </w:rPr>
            </w:pPr>
            <w:r>
              <w:rPr>
                <w:rFonts w:ascii="Arial" w:cs="Arial" w:eastAsia="Arial" w:hAnsi="Arial"/>
                <w:sz w:val="15"/>
                <w:szCs w:val="15"/>
                <w:color w:val="auto"/>
                <w:w w:val="93"/>
              </w:rPr>
              <w:t>—</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200" w:type="dxa"/>
            <w:vAlign w:val="bottom"/>
          </w:tcPr>
          <w:p>
            <w:pPr>
              <w:ind w:left="40"/>
              <w:spacing w:after="0" w:line="168"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27"/>
              <w:spacing w:after="0" w:line="168" w:lineRule="exact"/>
              <w:rPr>
                <w:sz w:val="20"/>
                <w:szCs w:val="20"/>
                <w:color w:val="auto"/>
              </w:rPr>
            </w:pPr>
            <w:r>
              <w:rPr>
                <w:rFonts w:ascii="Arial" w:cs="Arial" w:eastAsia="Arial" w:hAnsi="Arial"/>
                <w:sz w:val="15"/>
                <w:szCs w:val="15"/>
                <w:color w:val="auto"/>
              </w:rPr>
              <w:t>797</w:t>
            </w:r>
          </w:p>
        </w:tc>
        <w:tc>
          <w:tcPr>
            <w:tcW w:w="220" w:type="dxa"/>
            <w:vAlign w:val="bottom"/>
          </w:tcPr>
          <w:p>
            <w:pPr>
              <w:ind w:left="40"/>
              <w:spacing w:after="0" w:line="168" w:lineRule="exact"/>
              <w:rPr>
                <w:sz w:val="20"/>
                <w:szCs w:val="20"/>
                <w:color w:val="auto"/>
              </w:rPr>
            </w:pPr>
            <w:r>
              <w:rPr>
                <w:rFonts w:ascii="Arial" w:cs="Arial" w:eastAsia="Arial" w:hAnsi="Arial"/>
                <w:sz w:val="15"/>
                <w:szCs w:val="15"/>
                <w:color w:val="auto"/>
              </w:rPr>
              <w:t>​</w:t>
            </w:r>
          </w:p>
        </w:tc>
        <w:tc>
          <w:tcPr>
            <w:tcW w:w="280" w:type="dxa"/>
            <w:vAlign w:val="bottom"/>
          </w:tcPr>
          <w:p>
            <w:pPr>
              <w:ind w:left="140"/>
              <w:spacing w:after="0" w:line="168" w:lineRule="exact"/>
              <w:rPr>
                <w:sz w:val="20"/>
                <w:szCs w:val="20"/>
                <w:color w:val="auto"/>
              </w:rPr>
            </w:pPr>
            <w:r>
              <w:rPr>
                <w:rFonts w:ascii="Arial" w:cs="Arial" w:eastAsia="Arial" w:hAnsi="Arial"/>
                <w:sz w:val="15"/>
                <w:szCs w:val="15"/>
                <w:color w:val="auto"/>
                <w:w w:val="79"/>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80" w:type="dxa"/>
            <w:vAlign w:val="bottom"/>
          </w:tcPr>
          <w:p>
            <w:pPr>
              <w:jc w:val="right"/>
              <w:ind w:right="24"/>
              <w:spacing w:after="0" w:line="168" w:lineRule="exact"/>
              <w:rPr>
                <w:sz w:val="20"/>
                <w:szCs w:val="20"/>
                <w:color w:val="auto"/>
              </w:rPr>
            </w:pPr>
            <w:r>
              <w:rPr>
                <w:rFonts w:ascii="Arial" w:cs="Arial" w:eastAsia="Arial" w:hAnsi="Arial"/>
                <w:sz w:val="15"/>
                <w:szCs w:val="15"/>
                <w:color w:val="auto"/>
              </w:rPr>
              <w:t>​</w:t>
            </w:r>
          </w:p>
        </w:tc>
        <w:tc>
          <w:tcPr>
            <w:tcW w:w="240" w:type="dxa"/>
            <w:vAlign w:val="bottom"/>
          </w:tcPr>
          <w:p>
            <w:pPr>
              <w:ind w:left="80"/>
              <w:spacing w:after="0" w:line="168" w:lineRule="exact"/>
              <w:rPr>
                <w:sz w:val="20"/>
                <w:szCs w:val="20"/>
                <w:color w:val="auto"/>
              </w:rPr>
            </w:pPr>
            <w:r>
              <w:rPr>
                <w:rFonts w:ascii="Arial" w:cs="Arial" w:eastAsia="Arial" w:hAnsi="Arial"/>
                <w:sz w:val="15"/>
                <w:szCs w:val="15"/>
                <w:color w:val="auto"/>
                <w:w w:val="93"/>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27"/>
              <w:spacing w:after="0" w:line="168" w:lineRule="exact"/>
              <w:rPr>
                <w:sz w:val="20"/>
                <w:szCs w:val="20"/>
                <w:color w:val="auto"/>
              </w:rPr>
            </w:pPr>
            <w:r>
              <w:rPr>
                <w:rFonts w:ascii="Arial" w:cs="Arial" w:eastAsia="Arial" w:hAnsi="Arial"/>
                <w:sz w:val="15"/>
                <w:szCs w:val="15"/>
                <w:color w:val="auto"/>
              </w:rPr>
              <w:t>(2,964)</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8" w:lineRule="exact"/>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72"/>
        </w:trPr>
        <w:tc>
          <w:tcPr>
            <w:tcW w:w="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jc w:val="right"/>
              <w:spacing w:after="0" w:line="73" w:lineRule="exact"/>
              <w:rPr>
                <w:sz w:val="20"/>
                <w:szCs w:val="20"/>
                <w:color w:val="auto"/>
              </w:rPr>
            </w:pPr>
            <w:r>
              <w:rPr>
                <w:rFonts w:ascii="Arial" w:cs="Arial" w:eastAsia="Arial" w:hAnsi="Arial"/>
                <w:sz w:val="8"/>
                <w:szCs w:val="8"/>
                <w:color w:val="auto"/>
              </w:rPr>
              <w:t>​​ ​​</w:t>
            </w: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jc w:val="right"/>
              <w:ind w:right="87"/>
              <w:spacing w:after="0" w:line="73" w:lineRule="exact"/>
              <w:rPr>
                <w:sz w:val="20"/>
                <w:szCs w:val="20"/>
                <w:color w:val="auto"/>
              </w:rPr>
            </w:pPr>
            <w:r>
              <w:rPr>
                <w:rFonts w:ascii="Arial" w:cs="Arial" w:eastAsia="Arial" w:hAnsi="Arial"/>
                <w:sz w:val="8"/>
                <w:szCs w:val="8"/>
                <w:color w:val="auto"/>
              </w:rPr>
              <w:t>​​ ​</w:t>
            </w: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jc w:val="right"/>
              <w:spacing w:after="0" w:line="7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-1811020</wp:posOffset>
            </wp:positionV>
            <wp:extent cx="583755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-1374140</wp:posOffset>
            </wp:positionV>
            <wp:extent cx="5837555" cy="2825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37555" cy="2825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-936625</wp:posOffset>
            </wp:positionV>
            <wp:extent cx="5837555" cy="291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3755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-482600</wp:posOffset>
            </wp:positionV>
            <wp:extent cx="5837555"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-165100</wp:posOffset>
            </wp:positionV>
            <wp:extent cx="583755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60" w:space="600"/>
            <w:col w:w="5500"/>
          </w:cols>
          <w:pgMar w:left="580" w:top="97" w:right="1359" w:bottom="1440" w:gutter="0" w:footer="0" w:header="0"/>
          <w:type w:val="continuous"/>
        </w:sectPr>
      </w:pPr>
    </w:p>
    <w:tbl>
      <w:tblPr>
        <w:tblLayout w:type="fixed"/>
        <w:tblInd w:w="760" w:type="dxa"/>
        <w:tblCellMar>
          <w:top w:w="0" w:type="dxa"/>
          <w:left w:w="0" w:type="dxa"/>
          <w:bottom w:w="0" w:type="dxa"/>
          <w:right w:w="0" w:type="dxa"/>
        </w:tblCellMar>
      </w:tblPr>
      <w:tr>
        <w:trPr>
          <w:trHeight w:val="198"/>
        </w:trPr>
        <w:tc>
          <w:tcPr>
            <w:tcW w:w="80" w:type="dxa"/>
            <w:vAlign w:val="bottom"/>
          </w:tcPr>
          <w:p>
            <w:pPr>
              <w:spacing w:after="0"/>
              <w:rPr>
                <w:sz w:val="17"/>
                <w:szCs w:val="17"/>
                <w:color w:val="auto"/>
              </w:rPr>
            </w:pPr>
          </w:p>
        </w:tc>
        <w:tc>
          <w:tcPr>
            <w:tcW w:w="2740" w:type="dxa"/>
            <w:vAlign w:val="bottom"/>
          </w:tcPr>
          <w:p>
            <w:pPr>
              <w:spacing w:after="0" w:line="198" w:lineRule="exact"/>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(10)</w:t>
            </w:r>
          </w:p>
        </w:tc>
        <w:tc>
          <w:tcPr>
            <w:tcW w:w="1820" w:type="dxa"/>
            <w:vAlign w:val="bottom"/>
            <w:gridSpan w:val="3"/>
          </w:tcPr>
          <w:p>
            <w:pPr>
              <w:jc w:val="right"/>
              <w:ind w:right="76"/>
              <w:spacing w:after="0"/>
              <w:rPr>
                <w:sz w:val="20"/>
                <w:szCs w:val="20"/>
                <w:color w:val="auto"/>
              </w:rPr>
            </w:pPr>
            <w:r>
              <w:rPr>
                <w:rFonts w:ascii="Arial" w:cs="Arial" w:eastAsia="Arial" w:hAnsi="Arial"/>
                <w:sz w:val="15"/>
                <w:szCs w:val="15"/>
                <w:color w:val="auto"/>
              </w:rPr>
              <w:t>$340,141</w:t>
            </w:r>
          </w:p>
        </w:tc>
        <w:tc>
          <w:tcPr>
            <w:tcW w:w="880" w:type="dxa"/>
            <w:vAlign w:val="bottom"/>
            <w:gridSpan w:val="2"/>
          </w:tcPr>
          <w:p>
            <w:pPr>
              <w:jc w:val="right"/>
              <w:ind w:right="96"/>
              <w:spacing w:after="0"/>
              <w:rPr>
                <w:sz w:val="20"/>
                <w:szCs w:val="20"/>
                <w:color w:val="auto"/>
              </w:rPr>
            </w:pPr>
            <w:r>
              <w:rPr>
                <w:rFonts w:ascii="Arial" w:cs="Arial" w:eastAsia="Arial" w:hAnsi="Arial"/>
                <w:sz w:val="15"/>
                <w:szCs w:val="15"/>
                <w:color w:val="auto"/>
              </w:rPr>
              <w:t>$284,379</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$46,181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$7,501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
              <w:spacing w:after="0"/>
              <w:rPr>
                <w:sz w:val="20"/>
                <w:szCs w:val="20"/>
                <w:color w:val="auto"/>
              </w:rPr>
            </w:pPr>
            <w:r>
              <w:rPr>
                <w:rFonts w:ascii="Arial" w:cs="Arial" w:eastAsia="Arial" w:hAnsi="Arial"/>
                <w:sz w:val="15"/>
                <w:szCs w:val="15"/>
                <w:color w:val="auto"/>
              </w:rPr>
              <w:t>$(169,410)</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820" w:type="dxa"/>
            <w:vAlign w:val="bottom"/>
          </w:tcPr>
          <w:p>
            <w:pPr>
              <w:ind w:left="180"/>
              <w:spacing w:after="0"/>
              <w:rPr>
                <w:sz w:val="20"/>
                <w:szCs w:val="20"/>
                <w:color w:val="auto"/>
              </w:rPr>
            </w:pPr>
            <w:r>
              <w:rPr>
                <w:rFonts w:ascii="Arial" w:cs="Arial" w:eastAsia="Arial" w:hAnsi="Arial"/>
                <w:sz w:val="15"/>
                <w:szCs w:val="15"/>
                <w:color w:val="auto"/>
                <w:w w:val="99"/>
              </w:rPr>
              <w:t>$508,792</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820" w:type="dxa"/>
            <w:vAlign w:val="bottom"/>
            <w:gridSpan w:val="2"/>
          </w:tcPr>
          <w:p>
            <w:pPr>
              <w:ind w:left="40"/>
              <w:spacing w:after="0" w:line="68" w:lineRule="exact"/>
              <w:rPr>
                <w:sz w:val="20"/>
                <w:szCs w:val="20"/>
                <w:color w:val="auto"/>
              </w:rPr>
            </w:pPr>
            <w:r>
              <w:rPr>
                <w:rFonts w:ascii="Arial" w:cs="Arial" w:eastAsia="Arial" w:hAnsi="Arial"/>
                <w:sz w:val="7"/>
                <w:szCs w:val="7"/>
                <w:color w:val="auto"/>
              </w:rPr>
              <w:t>​</w:t>
            </w:r>
          </w:p>
        </w:tc>
        <w:tc>
          <w:tcPr>
            <w:tcW w:w="1360" w:type="dxa"/>
            <w:vAlign w:val="bottom"/>
            <w:gridSpan w:val="2"/>
          </w:tcPr>
          <w:p>
            <w:pPr>
              <w:ind w:left="880"/>
              <w:spacing w:after="0" w:line="68" w:lineRule="exact"/>
              <w:rPr>
                <w:sz w:val="20"/>
                <w:szCs w:val="20"/>
                <w:color w:val="auto"/>
              </w:rPr>
            </w:pPr>
            <w:r>
              <w:rPr>
                <w:rFonts w:ascii="Arial" w:cs="Arial" w:eastAsia="Arial" w:hAnsi="Arial"/>
                <w:sz w:val="7"/>
                <w:szCs w:val="7"/>
                <w:color w:val="auto"/>
              </w:rPr>
              <w:t>​ ​​</w:t>
            </w:r>
          </w:p>
        </w:tc>
        <w:tc>
          <w:tcPr>
            <w:tcW w:w="4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42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4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3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tcPr>
          <w:p>
            <w:pPr>
              <w:ind w:left="20"/>
              <w:spacing w:after="0" w:line="68" w:lineRule="exact"/>
              <w:rPr>
                <w:sz w:val="20"/>
                <w:szCs w:val="20"/>
                <w:color w:val="auto"/>
              </w:rPr>
            </w:pPr>
            <w:r>
              <w:rPr>
                <w:rFonts w:ascii="Arial" w:cs="Arial" w:eastAsia="Arial" w:hAnsi="Arial"/>
                <w:sz w:val="7"/>
                <w:szCs w:val="7"/>
                <w:color w:val="auto"/>
              </w:rPr>
              <w:t>​ ​</w:t>
            </w:r>
          </w:p>
        </w:tc>
        <w:tc>
          <w:tcPr>
            <w:tcW w:w="2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00" w:type="dxa"/>
            <w:vAlign w:val="bottom"/>
          </w:tcPr>
          <w:p>
            <w:pPr>
              <w:ind w:left="20"/>
              <w:spacing w:after="0" w:line="68" w:lineRule="exact"/>
              <w:rPr>
                <w:sz w:val="20"/>
                <w:szCs w:val="20"/>
                <w:color w:val="auto"/>
              </w:rPr>
            </w:pPr>
            <w:r>
              <w:rPr>
                <w:rFonts w:ascii="Arial" w:cs="Arial" w:eastAsia="Arial" w:hAnsi="Arial"/>
                <w:sz w:val="7"/>
                <w:szCs w:val="7"/>
                <w:color w:val="auto"/>
              </w:rPr>
              <w:t>​ ​</w:t>
            </w:r>
          </w:p>
        </w:tc>
        <w:tc>
          <w:tcPr>
            <w:tcW w:w="6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240" w:type="dxa"/>
            <w:vAlign w:val="bottom"/>
            <w:vMerge w:val="continue"/>
          </w:tcPr>
          <w:p>
            <w:pPr>
              <w:spacing w:after="0"/>
              <w:rPr>
                <w:sz w:val="5"/>
                <w:szCs w:val="5"/>
                <w:color w:val="auto"/>
              </w:rPr>
            </w:pPr>
          </w:p>
        </w:tc>
        <w:tc>
          <w:tcPr>
            <w:tcW w:w="820" w:type="dxa"/>
            <w:vAlign w:val="bottom"/>
          </w:tcPr>
          <w:p>
            <w:pPr>
              <w:ind w:left="160"/>
              <w:spacing w:after="0" w:line="68" w:lineRule="exact"/>
              <w:rPr>
                <w:sz w:val="20"/>
                <w:szCs w:val="20"/>
                <w:color w:val="auto"/>
              </w:rPr>
            </w:pPr>
            <w:r>
              <w:rPr>
                <w:rFonts w:ascii="Arial" w:cs="Arial" w:eastAsia="Arial" w:hAnsi="Arial"/>
                <w:sz w:val="7"/>
                <w:szCs w:val="7"/>
                <w:color w:val="auto"/>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5E5E5"/>
          </w:tcPr>
          <w:p>
            <w:pPr>
              <w:spacing w:after="0" w:line="20" w:lineRule="exact"/>
              <w:rPr>
                <w:sz w:val="1"/>
                <w:szCs w:val="1"/>
                <w:color w:val="auto"/>
              </w:rPr>
            </w:pPr>
          </w:p>
        </w:tc>
        <w:tc>
          <w:tcPr>
            <w:tcW w:w="2740" w:type="dxa"/>
            <w:vAlign w:val="bottom"/>
            <w:shd w:val="clear" w:color="auto" w:fill="E5E5E5"/>
          </w:tcPr>
          <w:p>
            <w:pPr>
              <w:spacing w:after="0" w:line="20" w:lineRule="exact"/>
              <w:rPr>
                <w:sz w:val="1"/>
                <w:szCs w:val="1"/>
                <w:color w:val="auto"/>
              </w:rPr>
            </w:pPr>
          </w:p>
        </w:tc>
        <w:tc>
          <w:tcPr>
            <w:tcW w:w="920" w:type="dxa"/>
            <w:vAlign w:val="bottom"/>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shd w:val="clear" w:color="auto" w:fill="E5E5E5"/>
          </w:tcPr>
          <w:p>
            <w:pPr>
              <w:ind w:left="40"/>
              <w:spacing w:after="0"/>
              <w:rPr>
                <w:sz w:val="20"/>
                <w:szCs w:val="20"/>
                <w:color w:val="auto"/>
              </w:rPr>
            </w:pPr>
            <w:r>
              <w:rPr>
                <w:rFonts w:ascii="Arial" w:cs="Arial" w:eastAsia="Arial" w:hAnsi="Arial"/>
                <w:sz w:val="15"/>
                <w:szCs w:val="15"/>
                <w:color w:val="auto"/>
              </w:rPr>
              <w:t>​</w:t>
            </w:r>
          </w:p>
        </w:tc>
        <w:tc>
          <w:tcPr>
            <w:tcW w:w="2740" w:type="dxa"/>
            <w:vAlign w:val="bottom"/>
            <w:shd w:val="clear" w:color="auto" w:fill="E5E5E5"/>
          </w:tcPr>
          <w:p>
            <w:pPr>
              <w:spacing w:after="0"/>
              <w:rPr>
                <w:sz w:val="20"/>
                <w:szCs w:val="20"/>
                <w:color w:val="auto"/>
              </w:rPr>
            </w:pPr>
            <w:r>
              <w:rPr>
                <w:rFonts w:ascii="Arial" w:cs="Arial" w:eastAsia="Arial" w:hAnsi="Arial"/>
                <w:sz w:val="15"/>
                <w:szCs w:val="15"/>
                <w:color w:val="auto"/>
              </w:rPr>
              <w:t>Plus: Annual cash incentive</w:t>
            </w:r>
          </w:p>
        </w:tc>
        <w:tc>
          <w:tcPr>
            <w:tcW w:w="1360" w:type="dxa"/>
            <w:vAlign w:val="bottom"/>
            <w:gridSpan w:val="2"/>
            <w:shd w:val="clear" w:color="auto" w:fill="E5E5E5"/>
          </w:tcPr>
          <w:p>
            <w:pPr>
              <w:ind w:left="88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460" w:type="dxa"/>
            <w:vAlign w:val="bottom"/>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420" w:type="dxa"/>
            <w:vAlign w:val="bottom"/>
            <w:shd w:val="clear" w:color="auto" w:fill="E5E5E5"/>
          </w:tcPr>
          <w:p>
            <w:pPr>
              <w:ind w:left="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60" w:type="dxa"/>
            <w:vAlign w:val="bottom"/>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380" w:type="dxa"/>
            <w:vAlign w:val="bottom"/>
            <w:shd w:val="clear" w:color="auto" w:fill="E5E5E5"/>
          </w:tcPr>
          <w:p>
            <w:pPr>
              <w:ind w:left="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20" w:type="dxa"/>
            <w:vAlign w:val="bottom"/>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380" w:type="dxa"/>
            <w:vAlign w:val="bottom"/>
            <w:shd w:val="clear" w:color="auto" w:fill="E5E5E5"/>
          </w:tcPr>
          <w:p>
            <w:pPr>
              <w:ind w:left="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380" w:type="dxa"/>
            <w:vAlign w:val="bottom"/>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300" w:type="dxa"/>
            <w:vAlign w:val="bottom"/>
            <w:shd w:val="clear" w:color="auto" w:fill="E5E5E5"/>
          </w:tcPr>
          <w:p>
            <w:pPr>
              <w:ind w:left="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80" w:type="dxa"/>
            <w:vAlign w:val="bottom"/>
            <w:gridSpan w:val="2"/>
            <w:shd w:val="clear" w:color="auto" w:fill="E5E5E5"/>
          </w:tcPr>
          <w:p>
            <w:pPr>
              <w:jc w:val="right"/>
              <w:ind w:right="84"/>
              <w:spacing w:after="0" w:line="250" w:lineRule="exact"/>
              <w:rPr>
                <w:sz w:val="20"/>
                <w:szCs w:val="20"/>
                <w:color w:val="auto"/>
              </w:rPr>
            </w:pPr>
            <w:r>
              <w:rPr>
                <w:rFonts w:ascii="Arial" w:cs="Arial" w:eastAsia="Arial" w:hAnsi="Arial"/>
                <w:sz w:val="15"/>
                <w:szCs w:val="15"/>
                <w:color w:val="auto"/>
              </w:rPr>
              <w:t>11,040</w:t>
            </w:r>
            <w:r>
              <w:rPr>
                <w:rFonts w:ascii="Arial" w:cs="Arial" w:eastAsia="Arial" w:hAnsi="Arial"/>
                <w:sz w:val="28"/>
                <w:szCs w:val="28"/>
                <w:color w:val="auto"/>
                <w:vertAlign w:val="subscript"/>
              </w:rPr>
              <w:t>​​ ​</w:t>
            </w:r>
          </w:p>
        </w:tc>
        <w:tc>
          <w:tcPr>
            <w:tcW w:w="940" w:type="dxa"/>
            <w:vAlign w:val="bottom"/>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11,040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83"/>
        </w:trPr>
        <w:tc>
          <w:tcPr>
            <w:tcW w:w="80" w:type="dxa"/>
            <w:vAlign w:val="bottom"/>
            <w:tcBorders>
              <w:top w:val="single" w:sz="8" w:color="E5E5E5"/>
            </w:tcBorders>
          </w:tcPr>
          <w:p>
            <w:pPr>
              <w:spacing w:after="0"/>
              <w:rPr>
                <w:sz w:val="15"/>
                <w:szCs w:val="15"/>
                <w:color w:val="auto"/>
              </w:rPr>
            </w:pPr>
          </w:p>
        </w:tc>
        <w:tc>
          <w:tcPr>
            <w:tcW w:w="2740" w:type="dxa"/>
            <w:vAlign w:val="bottom"/>
            <w:tcBorders>
              <w:top w:val="single" w:sz="8" w:color="E5E5E5"/>
            </w:tcBorders>
          </w:tcPr>
          <w:p>
            <w:pPr>
              <w:spacing w:after="0" w:line="183" w:lineRule="exact"/>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(11)</w:t>
            </w:r>
          </w:p>
        </w:tc>
        <w:tc>
          <w:tcPr>
            <w:tcW w:w="920" w:type="dxa"/>
            <w:vAlign w:val="bottom"/>
            <w:tcBorders>
              <w:top w:val="single" w:sz="8" w:color="E5E5E5"/>
            </w:tcBorders>
          </w:tcPr>
          <w:p>
            <w:pPr>
              <w:spacing w:after="0"/>
              <w:rPr>
                <w:sz w:val="15"/>
                <w:szCs w:val="15"/>
                <w:color w:val="auto"/>
              </w:rPr>
            </w:pPr>
          </w:p>
        </w:tc>
        <w:tc>
          <w:tcPr>
            <w:tcW w:w="900" w:type="dxa"/>
            <w:vAlign w:val="bottom"/>
            <w:tcBorders>
              <w:top w:val="single" w:sz="8" w:color="auto"/>
            </w:tcBorders>
            <w:gridSpan w:val="2"/>
          </w:tcPr>
          <w:p>
            <w:pPr>
              <w:jc w:val="right"/>
              <w:ind w:right="76"/>
              <w:spacing w:after="0"/>
              <w:rPr>
                <w:sz w:val="20"/>
                <w:szCs w:val="20"/>
                <w:color w:val="auto"/>
              </w:rPr>
            </w:pPr>
            <w:r>
              <w:rPr>
                <w:rFonts w:ascii="Arial" w:cs="Arial" w:eastAsia="Arial" w:hAnsi="Arial"/>
                <w:sz w:val="15"/>
                <w:szCs w:val="15"/>
                <w:color w:val="auto"/>
              </w:rPr>
              <w:t>$340,141</w:t>
            </w:r>
          </w:p>
        </w:tc>
        <w:tc>
          <w:tcPr>
            <w:tcW w:w="880" w:type="dxa"/>
            <w:vAlign w:val="bottom"/>
            <w:tcBorders>
              <w:top w:val="single" w:sz="8" w:color="auto"/>
            </w:tcBorders>
            <w:gridSpan w:val="2"/>
          </w:tcPr>
          <w:p>
            <w:pPr>
              <w:jc w:val="right"/>
              <w:ind w:right="96"/>
              <w:spacing w:after="0"/>
              <w:rPr>
                <w:sz w:val="20"/>
                <w:szCs w:val="20"/>
                <w:color w:val="auto"/>
              </w:rPr>
            </w:pPr>
            <w:r>
              <w:rPr>
                <w:rFonts w:ascii="Arial" w:cs="Arial" w:eastAsia="Arial" w:hAnsi="Arial"/>
                <w:sz w:val="15"/>
                <w:szCs w:val="15"/>
                <w:color w:val="auto"/>
              </w:rPr>
              <w:t>$284,379</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$46,181</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$7,501</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5"/>
                <w:szCs w:val="15"/>
                <w:color w:val="auto"/>
              </w:rPr>
              <w:t>$(158,370)</w:t>
            </w:r>
          </w:p>
        </w:tc>
        <w:tc>
          <w:tcPr>
            <w:tcW w:w="24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tcPr>
          <w:p>
            <w:pPr>
              <w:ind w:left="180"/>
              <w:spacing w:after="0"/>
              <w:rPr>
                <w:sz w:val="20"/>
                <w:szCs w:val="20"/>
                <w:color w:val="auto"/>
              </w:rPr>
            </w:pPr>
            <w:r>
              <w:rPr>
                <w:rFonts w:ascii="Arial" w:cs="Arial" w:eastAsia="Arial" w:hAnsi="Arial"/>
                <w:sz w:val="15"/>
                <w:szCs w:val="15"/>
                <w:color w:val="auto"/>
                <w:w w:val="99"/>
              </w:rPr>
              <w:t>$519,832</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gridSpan w:val="2"/>
          </w:tcPr>
          <w:p>
            <w:pPr>
              <w:ind w:left="40"/>
              <w:spacing w:after="0" w:line="54" w:lineRule="exact"/>
              <w:rPr>
                <w:sz w:val="20"/>
                <w:szCs w:val="20"/>
                <w:color w:val="auto"/>
              </w:rPr>
            </w:pPr>
            <w:r>
              <w:rPr>
                <w:rFonts w:ascii="Arial" w:cs="Arial" w:eastAsia="Arial" w:hAnsi="Arial"/>
                <w:sz w:val="5"/>
                <w:szCs w:val="5"/>
                <w:color w:val="auto"/>
              </w:rPr>
              <w:t>​</w:t>
            </w:r>
          </w:p>
        </w:tc>
        <w:tc>
          <w:tcPr>
            <w:tcW w:w="1360" w:type="dxa"/>
            <w:vAlign w:val="bottom"/>
            <w:tcBorders>
              <w:bottom w:val="single" w:sz="8" w:color="auto"/>
            </w:tcBorders>
            <w:gridSpan w:val="2"/>
          </w:tcPr>
          <w:p>
            <w:pPr>
              <w:ind w:left="880"/>
              <w:spacing w:after="0" w:line="54" w:lineRule="exact"/>
              <w:rPr>
                <w:sz w:val="20"/>
                <w:szCs w:val="20"/>
                <w:color w:val="auto"/>
              </w:rPr>
            </w:pPr>
            <w:r>
              <w:rPr>
                <w:rFonts w:ascii="Arial" w:cs="Arial" w:eastAsia="Arial" w:hAnsi="Arial"/>
                <w:sz w:val="5"/>
                <w:szCs w:val="5"/>
                <w:color w:val="auto"/>
              </w:rPr>
              <w:t>​ ​​</w:t>
            </w:r>
          </w:p>
        </w:tc>
        <w:tc>
          <w:tcPr>
            <w:tcW w:w="46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5"/>
                <w:szCs w:val="5"/>
                <w:color w:val="auto"/>
              </w:rPr>
              <w:t>​​</w:t>
            </w:r>
          </w:p>
        </w:tc>
        <w:tc>
          <w:tcPr>
            <w:tcW w:w="420" w:type="dxa"/>
            <w:vAlign w:val="bottom"/>
            <w:tcBorders>
              <w:bottom w:val="single" w:sz="8" w:color="auto"/>
            </w:tcBorders>
          </w:tcPr>
          <w:p>
            <w:pPr>
              <w:ind w:left="40"/>
              <w:spacing w:after="0" w:line="54" w:lineRule="exact"/>
              <w:rPr>
                <w:sz w:val="20"/>
                <w:szCs w:val="20"/>
                <w:color w:val="auto"/>
              </w:rPr>
            </w:pPr>
            <w:r>
              <w:rPr>
                <w:rFonts w:ascii="Arial" w:cs="Arial" w:eastAsia="Arial" w:hAnsi="Arial"/>
                <w:sz w:val="5"/>
                <w:szCs w:val="5"/>
                <w:color w:val="auto"/>
              </w:rPr>
              <w:t>​​</w:t>
            </w:r>
          </w:p>
        </w:tc>
        <w:tc>
          <w:tcPr>
            <w:tcW w:w="46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5"/>
                <w:szCs w:val="5"/>
                <w:color w:val="auto"/>
              </w:rPr>
              <w:t>​​</w:t>
            </w:r>
          </w:p>
        </w:tc>
        <w:tc>
          <w:tcPr>
            <w:tcW w:w="380" w:type="dxa"/>
            <w:vAlign w:val="bottom"/>
            <w:tcBorders>
              <w:bottom w:val="single" w:sz="8" w:color="auto"/>
            </w:tcBorders>
          </w:tcPr>
          <w:p>
            <w:pPr>
              <w:ind w:left="40"/>
              <w:spacing w:after="0" w:line="54" w:lineRule="exact"/>
              <w:rPr>
                <w:sz w:val="20"/>
                <w:szCs w:val="20"/>
                <w:color w:val="auto"/>
              </w:rPr>
            </w:pPr>
            <w:r>
              <w:rPr>
                <w:rFonts w:ascii="Arial" w:cs="Arial" w:eastAsia="Arial" w:hAnsi="Arial"/>
                <w:sz w:val="5"/>
                <w:szCs w:val="5"/>
                <w:color w:val="auto"/>
              </w:rPr>
              <w:t>​​</w:t>
            </w: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vMerge w:val="continue"/>
          </w:tcPr>
          <w:p>
            <w:pPr>
              <w:spacing w:after="0"/>
              <w:rPr>
                <w:sz w:val="4"/>
                <w:szCs w:val="4"/>
                <w:color w:val="auto"/>
              </w:rPr>
            </w:pPr>
          </w:p>
        </w:tc>
        <w:tc>
          <w:tcPr>
            <w:tcW w:w="380" w:type="dxa"/>
            <w:vAlign w:val="bottom"/>
            <w:tcBorders>
              <w:bottom w:val="single" w:sz="8" w:color="auto"/>
            </w:tcBorders>
          </w:tcPr>
          <w:p>
            <w:pPr>
              <w:ind w:left="20"/>
              <w:spacing w:after="0" w:line="54" w:lineRule="exact"/>
              <w:rPr>
                <w:sz w:val="20"/>
                <w:szCs w:val="20"/>
                <w:color w:val="auto"/>
              </w:rPr>
            </w:pPr>
            <w:r>
              <w:rPr>
                <w:rFonts w:ascii="Arial" w:cs="Arial" w:eastAsia="Arial" w:hAnsi="Arial"/>
                <w:sz w:val="5"/>
                <w:szCs w:val="5"/>
                <w:color w:val="auto"/>
              </w:rPr>
              <w:t>​ ​</w:t>
            </w: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vMerge w:val="continue"/>
          </w:tcPr>
          <w:p>
            <w:pPr>
              <w:spacing w:after="0"/>
              <w:rPr>
                <w:sz w:val="4"/>
                <w:szCs w:val="4"/>
                <w:color w:val="auto"/>
              </w:rPr>
            </w:pPr>
          </w:p>
        </w:tc>
        <w:tc>
          <w:tcPr>
            <w:tcW w:w="300" w:type="dxa"/>
            <w:vAlign w:val="bottom"/>
            <w:tcBorders>
              <w:bottom w:val="single" w:sz="8" w:color="auto"/>
            </w:tcBorders>
          </w:tcPr>
          <w:p>
            <w:pPr>
              <w:ind w:left="20"/>
              <w:spacing w:after="0" w:line="54" w:lineRule="exact"/>
              <w:rPr>
                <w:sz w:val="20"/>
                <w:szCs w:val="20"/>
                <w:color w:val="auto"/>
              </w:rPr>
            </w:pPr>
            <w:r>
              <w:rPr>
                <w:rFonts w:ascii="Arial" w:cs="Arial" w:eastAsia="Arial" w:hAnsi="Arial"/>
                <w:sz w:val="5"/>
                <w:szCs w:val="5"/>
                <w:color w:val="auto"/>
              </w:rPr>
              <w:t>​ ​</w:t>
            </w:r>
          </w:p>
        </w:tc>
        <w:tc>
          <w:tcPr>
            <w:tcW w:w="64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5"/>
                <w:szCs w:val="5"/>
                <w:color w:val="auto"/>
              </w:rPr>
              <w:t>​​</w:t>
            </w:r>
          </w:p>
        </w:tc>
        <w:tc>
          <w:tcPr>
            <w:tcW w:w="240" w:type="dxa"/>
            <w:vAlign w:val="bottom"/>
            <w:tcBorders>
              <w:bottom w:val="single" w:sz="8" w:color="auto"/>
            </w:tcBorders>
            <w:vMerge w:val="continue"/>
          </w:tcPr>
          <w:p>
            <w:pPr>
              <w:spacing w:after="0"/>
              <w:rPr>
                <w:sz w:val="4"/>
                <w:szCs w:val="4"/>
                <w:color w:val="auto"/>
              </w:rPr>
            </w:pPr>
          </w:p>
        </w:tc>
        <w:tc>
          <w:tcPr>
            <w:tcW w:w="820" w:type="dxa"/>
            <w:vAlign w:val="bottom"/>
            <w:tcBorders>
              <w:bottom w:val="single" w:sz="8" w:color="auto"/>
            </w:tcBorders>
          </w:tcPr>
          <w:p>
            <w:pPr>
              <w:ind w:left="160"/>
              <w:spacing w:after="0" w:line="54" w:lineRule="exact"/>
              <w:rPr>
                <w:sz w:val="20"/>
                <w:szCs w:val="20"/>
                <w:color w:val="auto"/>
              </w:rPr>
            </w:pPr>
            <w:r>
              <w:rPr>
                <w:rFonts w:ascii="Arial" w:cs="Arial" w:eastAsia="Arial" w:hAnsi="Arial"/>
                <w:sz w:val="5"/>
                <w:szCs w:val="5"/>
                <w:color w:val="auto"/>
              </w:rPr>
              <w:t>​</w:t>
            </w:r>
          </w:p>
        </w:tc>
        <w:tc>
          <w:tcPr>
            <w:tcW w:w="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-342265</wp:posOffset>
            </wp:positionV>
            <wp:extent cx="23742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67" w:lineRule="exact"/>
        <w:rPr>
          <w:sz w:val="20"/>
          <w:szCs w:val="20"/>
          <w:color w:val="auto"/>
        </w:rPr>
      </w:pPr>
    </w:p>
    <w:p>
      <w:pPr>
        <w:ind w:left="1120" w:hanging="358"/>
        <w:spacing w:after="0"/>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Special items are reported as Other Gains and Charges in the Company’s Consolidated Statements of Operations.</w:t>
      </w:r>
    </w:p>
    <w:p>
      <w:pPr>
        <w:spacing w:after="0" w:line="28" w:lineRule="exact"/>
        <w:rPr>
          <w:rFonts w:ascii="Arial" w:cs="Arial" w:eastAsia="Arial" w:hAnsi="Arial"/>
          <w:sz w:val="14"/>
          <w:szCs w:val="14"/>
          <w:i w:val="1"/>
          <w:iCs w:val="1"/>
          <w:color w:val="auto"/>
        </w:rPr>
      </w:pPr>
    </w:p>
    <w:p>
      <w:pPr>
        <w:jc w:val="both"/>
        <w:ind w:left="1120" w:hanging="358"/>
        <w:spacing w:after="0" w:line="271" w:lineRule="auto"/>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expenses of  $70.3 million related to estimated legal accruals and $6.1 million in litigation and defense expenses for a regulatory lawsuit with the Consumer Financial Protection Bureau (which was previously dismissed with prejudice) and our current regulatory lawsuit with the New York Attorney General, as well as the Multi-State Attorneys’ General regulatory investigation and a recently settled patent infringement lawsuit.</w:t>
      </w:r>
    </w:p>
    <w:p>
      <w:pPr>
        <w:ind w:left="1120" w:right="20" w:hanging="358"/>
        <w:spacing w:after="0" w:line="262" w:lineRule="auto"/>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of approximately $43.7 million related to the total fair value of acquired intangible assets and incremental depreciation of approximately $15.9 million.</w:t>
      </w:r>
    </w:p>
    <w:p>
      <w:pPr>
        <w:ind w:left="1120" w:hanging="358"/>
        <w:spacing w:after="0" w:line="270" w:lineRule="auto"/>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expense of approximately $14.3 million related to the total fair value of acquired intangible assets and incremental depreciation expense of approximately $8.5 million related to the fair value of acquired software assets.</w:t>
      </w:r>
    </w:p>
    <w:p>
      <w:pPr>
        <w:ind w:left="1120" w:right="20" w:hanging="358"/>
        <w:spacing w:after="0" w:line="271" w:lineRule="auto"/>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stock compensation expense related to common stock issued to Brigit employees under restricted stock agreements as part of the acquisition proceeds subject to vesting restrictions.</w:t>
      </w:r>
    </w:p>
    <w:p>
      <w:pPr>
        <w:ind w:left="1120" w:hanging="358"/>
        <w:spacing w:after="0"/>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amortizatin expense for Brigit replacement awards and other compensation related to the Brigit acquisition.</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 impairments of approximately $12.4 million and fixed assets impairments of approximately $0.6 million.</w:t>
      </w:r>
    </w:p>
    <w:p>
      <w:pPr>
        <w:spacing w:after="0" w:line="1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accelerated stock compensation expense related to our letter agreement with the Company’s former Chief Executive Officer.</w:t>
      </w:r>
    </w:p>
    <w:p>
      <w:pPr>
        <w:spacing w:after="0" w:line="26" w:lineRule="exact"/>
        <w:rPr>
          <w:rFonts w:ascii="Arial" w:cs="Arial" w:eastAsia="Arial" w:hAnsi="Arial"/>
          <w:sz w:val="14"/>
          <w:szCs w:val="14"/>
          <w:i w:val="1"/>
          <w:iCs w:val="1"/>
          <w:color w:val="auto"/>
        </w:rPr>
      </w:pPr>
    </w:p>
    <w:p>
      <w:pPr>
        <w:ind w:left="1120" w:hanging="358"/>
        <w:spacing w:after="0" w:line="262" w:lineRule="auto"/>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includes interest income on tax refunds for prior years received in 2025 and shutdown and holding costs related to store closures and severance.</w:t>
      </w:r>
    </w:p>
    <w:p>
      <w:pPr>
        <w:ind w:left="1120" w:hanging="358"/>
        <w:spacing w:after="0"/>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above in the 2025 Company Performance Highlights.</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As defined above and included in the above Pay Versus Performance tables and 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A-4</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4340"/>
        <w:spacing w:after="0" w:line="296" w:lineRule="auto"/>
        <w:rPr>
          <w:sz w:val="20"/>
          <w:szCs w:val="20"/>
          <w:color w:val="auto"/>
        </w:rPr>
      </w:pPr>
      <w:r>
        <w:rPr>
          <w:rFonts w:ascii="Arial" w:cs="Arial" w:eastAsia="Arial" w:hAnsi="Arial"/>
          <w:sz w:val="16"/>
          <w:szCs w:val="16"/>
          <w:b w:val="1"/>
          <w:bCs w:val="1"/>
          <w:color w:val="auto"/>
        </w:rPr>
        <w:t>ANNEX A: RECONCILIATION OF GAAP MEASURES TO NON-GAAP MEASURES​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72390</wp:posOffset>
            </wp:positionV>
            <wp:extent cx="51435" cy="4457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445770"/>
                    </a:xfrm>
                    <a:prstGeom prst="rect">
                      <a:avLst/>
                    </a:prstGeom>
                    <a:noFill/>
                  </pic:spPr>
                </pic:pic>
              </a:graphicData>
            </a:graphic>
          </wp:anchor>
        </w:drawing>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920" w:type="dxa"/>
            <w:vAlign w:val="bottom"/>
          </w:tcPr>
          <w:p>
            <w:pPr>
              <w:jc w:val="center"/>
              <w:ind w:right="2736"/>
              <w:spacing w:after="0"/>
              <w:rPr>
                <w:sz w:val="20"/>
                <w:szCs w:val="20"/>
                <w:color w:val="auto"/>
              </w:rPr>
            </w:pPr>
            <w:r>
              <w:rPr>
                <w:rFonts w:ascii="Arial" w:cs="Arial" w:eastAsia="Arial" w:hAnsi="Arial"/>
                <w:sz w:val="15"/>
                <w:szCs w:val="15"/>
                <w:b w:val="1"/>
                <w:bCs w:val="1"/>
                <w:color w:val="auto"/>
              </w:rPr>
              <w:t>​ ​</w:t>
            </w:r>
          </w:p>
        </w:tc>
        <w:tc>
          <w:tcPr>
            <w:tcW w:w="2420" w:type="dxa"/>
            <w:vAlign w:val="bottom"/>
            <w:gridSpan w:val="3"/>
          </w:tcPr>
          <w:p>
            <w:pPr>
              <w:ind w:left="1560"/>
              <w:spacing w:after="0"/>
              <w:rPr>
                <w:sz w:val="20"/>
                <w:szCs w:val="20"/>
                <w:color w:val="auto"/>
              </w:rPr>
            </w:pPr>
            <w:r>
              <w:rPr>
                <w:rFonts w:ascii="Arial" w:cs="Arial" w:eastAsia="Arial" w:hAnsi="Arial"/>
                <w:sz w:val="15"/>
                <w:szCs w:val="15"/>
                <w:b w:val="1"/>
                <w:bCs w:val="1"/>
                <w:color w:val="auto"/>
              </w:rPr>
              <w:t>​ ​</w:t>
            </w:r>
          </w:p>
        </w:tc>
        <w:tc>
          <w:tcPr>
            <w:tcW w:w="2920" w:type="dxa"/>
            <w:vAlign w:val="bottom"/>
            <w:gridSpan w:val="4"/>
          </w:tcPr>
          <w:p>
            <w:pPr>
              <w:jc w:val="right"/>
              <w:ind w:right="233"/>
              <w:spacing w:after="0"/>
              <w:rPr>
                <w:sz w:val="20"/>
                <w:szCs w:val="20"/>
                <w:color w:val="auto"/>
              </w:rPr>
            </w:pPr>
            <w:r>
              <w:rPr>
                <w:rFonts w:ascii="Arial" w:cs="Arial" w:eastAsia="Arial" w:hAnsi="Arial"/>
                <w:sz w:val="15"/>
                <w:szCs w:val="15"/>
                <w:b w:val="1"/>
                <w:bCs w:val="1"/>
                <w:color w:val="auto"/>
              </w:rPr>
              <w:t>Year Ended December 31, 2024</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4"/>
        </w:trPr>
        <w:tc>
          <w:tcPr>
            <w:tcW w:w="2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left="133"/>
              <w:spacing w:after="0"/>
              <w:rPr>
                <w:sz w:val="20"/>
                <w:szCs w:val="20"/>
                <w:color w:val="auto"/>
              </w:rPr>
            </w:pPr>
            <w:r>
              <w:rPr>
                <w:rFonts w:ascii="Arial" w:cs="Arial" w:eastAsia="Arial" w:hAnsi="Arial"/>
                <w:sz w:val="15"/>
                <w:szCs w:val="15"/>
                <w:b w:val="1"/>
                <w:bCs w:val="1"/>
                <w:color w:val="auto"/>
              </w:rPr>
              <w:t>Rent-A-</w:t>
            </w: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 thousands)</w:t>
            </w:r>
          </w:p>
        </w:tc>
        <w:tc>
          <w:tcPr>
            <w:tcW w:w="2420" w:type="dxa"/>
            <w:vAlign w:val="bottom"/>
            <w:gridSpan w:val="3"/>
          </w:tcPr>
          <w:p>
            <w:pPr>
              <w:ind w:left="1620"/>
              <w:spacing w:after="0"/>
              <w:rPr>
                <w:sz w:val="20"/>
                <w:szCs w:val="20"/>
                <w:color w:val="auto"/>
              </w:rPr>
            </w:pPr>
            <w:r>
              <w:rPr>
                <w:rFonts w:ascii="Arial" w:cs="Arial" w:eastAsia="Arial" w:hAnsi="Arial"/>
                <w:sz w:val="15"/>
                <w:szCs w:val="15"/>
                <w:b w:val="1"/>
                <w:bCs w:val="1"/>
                <w:color w:val="auto"/>
              </w:rPr>
              <w:t>​ ​ Acima</w:t>
            </w: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 ​ Center</w:t>
            </w:r>
          </w:p>
        </w:tc>
        <w:tc>
          <w:tcPr>
            <w:tcW w:w="3020" w:type="dxa"/>
            <w:vAlign w:val="bottom"/>
            <w:gridSpan w:val="5"/>
          </w:tcPr>
          <w:p>
            <w:pPr>
              <w:ind w:left="60"/>
              <w:spacing w:after="0"/>
              <w:rPr>
                <w:sz w:val="20"/>
                <w:szCs w:val="20"/>
                <w:color w:val="auto"/>
              </w:rPr>
            </w:pPr>
            <w:r>
              <w:rPr>
                <w:rFonts w:ascii="Arial" w:cs="Arial" w:eastAsia="Arial" w:hAnsi="Arial"/>
                <w:sz w:val="15"/>
                <w:szCs w:val="15"/>
                <w:b w:val="1"/>
                <w:bCs w:val="1"/>
                <w:color w:val="auto"/>
              </w:rPr>
              <w:t>​ ​ Mexico ​ ​Corporate ​ ​Consolidated ​</w:t>
            </w:r>
          </w:p>
        </w:tc>
        <w:tc>
          <w:tcPr>
            <w:tcW w:w="0" w:type="dxa"/>
            <w:vAlign w:val="bottom"/>
          </w:tcPr>
          <w:p>
            <w:pPr>
              <w:spacing w:after="0"/>
              <w:rPr>
                <w:sz w:val="1"/>
                <w:szCs w:val="1"/>
                <w:color w:val="auto"/>
              </w:rPr>
            </w:pPr>
          </w:p>
        </w:tc>
      </w:tr>
      <w:tr>
        <w:trPr>
          <w:trHeight w:val="183"/>
        </w:trPr>
        <w:tc>
          <w:tcPr>
            <w:tcW w:w="2920" w:type="dxa"/>
            <w:vAlign w:val="bottom"/>
            <w:tcBorders>
              <w:top w:val="single" w:sz="8" w:color="E5E5E5"/>
            </w:tcBorders>
            <w:shd w:val="clear" w:color="auto" w:fill="E5E5E5"/>
          </w:tcPr>
          <w:p>
            <w:pPr>
              <w:ind w:left="80"/>
              <w:spacing w:after="0"/>
              <w:rPr>
                <w:sz w:val="20"/>
                <w:szCs w:val="20"/>
                <w:color w:val="auto"/>
              </w:rPr>
            </w:pPr>
            <w:r>
              <w:rPr>
                <w:rFonts w:ascii="Arial" w:cs="Arial" w:eastAsia="Arial" w:hAnsi="Arial"/>
                <w:sz w:val="15"/>
                <w:szCs w:val="15"/>
                <w:color w:val="auto"/>
              </w:rPr>
              <w:t>Net earnings (loss)</w:t>
            </w:r>
          </w:p>
        </w:tc>
        <w:tc>
          <w:tcPr>
            <w:tcW w:w="1660" w:type="dxa"/>
            <w:vAlign w:val="bottom"/>
            <w:tcBorders>
              <w:top w:val="single" w:sz="8" w:color="E5E5E5"/>
            </w:tcBorders>
            <w:shd w:val="clear" w:color="auto" w:fill="E5E5E5"/>
          </w:tcPr>
          <w:p>
            <w:pPr>
              <w:spacing w:after="0"/>
              <w:rPr>
                <w:sz w:val="15"/>
                <w:szCs w:val="15"/>
                <w:color w:val="auto"/>
              </w:rPr>
            </w:pPr>
          </w:p>
        </w:tc>
        <w:tc>
          <w:tcPr>
            <w:tcW w:w="7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$255,549</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$297,160</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$4,806</w:t>
            </w:r>
          </w:p>
        </w:tc>
        <w:tc>
          <w:tcPr>
            <w:tcW w:w="1320" w:type="dxa"/>
            <w:vAlign w:val="bottom"/>
            <w:tcBorders>
              <w:top w:val="single" w:sz="8" w:color="auto"/>
            </w:tcBorders>
            <w:gridSpan w:val="2"/>
            <w:shd w:val="clear" w:color="auto" w:fill="E5E5E5"/>
          </w:tcPr>
          <w:p>
            <w:pPr>
              <w:jc w:val="right"/>
              <w:ind w:right="273"/>
              <w:spacing w:after="0"/>
              <w:rPr>
                <w:sz w:val="20"/>
                <w:szCs w:val="20"/>
                <w:color w:val="auto"/>
              </w:rPr>
            </w:pPr>
            <w:r>
              <w:rPr>
                <w:rFonts w:ascii="Arial" w:cs="Arial" w:eastAsia="Arial" w:hAnsi="Arial"/>
                <w:sz w:val="15"/>
                <w:szCs w:val="15"/>
                <w:color w:val="auto"/>
              </w:rPr>
              <w:t>$(434,037)</w:t>
            </w:r>
          </w:p>
        </w:tc>
        <w:tc>
          <w:tcPr>
            <w:tcW w:w="8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5"/>
                <w:szCs w:val="15"/>
                <w:color w:val="auto"/>
                <w:w w:val="99"/>
              </w:rPr>
              <w:t>$123,478</w:t>
            </w:r>
          </w:p>
        </w:tc>
        <w:tc>
          <w:tcPr>
            <w:tcW w:w="120" w:type="dxa"/>
            <w:vAlign w:val="bottom"/>
            <w:tcBorders>
              <w:top w:val="single" w:sz="8" w:color="auto"/>
            </w:tcBorders>
            <w:vMerge w:val="restart"/>
            <w:shd w:val="clear" w:color="auto" w:fill="E5E5E5"/>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2920" w:type="dxa"/>
            <w:vAlign w:val="bottom"/>
            <w:shd w:val="clear" w:color="auto" w:fill="E5E5E5"/>
          </w:tcPr>
          <w:p>
            <w:pPr>
              <w:jc w:val="center"/>
              <w:ind w:right="2736"/>
              <w:spacing w:after="0" w:line="54" w:lineRule="exact"/>
              <w:rPr>
                <w:sz w:val="20"/>
                <w:szCs w:val="20"/>
                <w:color w:val="auto"/>
              </w:rPr>
            </w:pPr>
            <w:r>
              <w:rPr>
                <w:rFonts w:ascii="Arial" w:cs="Arial" w:eastAsia="Arial" w:hAnsi="Arial"/>
                <w:sz w:val="5"/>
                <w:szCs w:val="5"/>
                <w:color w:val="auto"/>
              </w:rPr>
              <w:t>​</w:t>
            </w:r>
          </w:p>
        </w:tc>
        <w:tc>
          <w:tcPr>
            <w:tcW w:w="2420" w:type="dxa"/>
            <w:vAlign w:val="bottom"/>
            <w:gridSpan w:val="3"/>
            <w:shd w:val="clear" w:color="auto" w:fill="E5E5E5"/>
          </w:tcPr>
          <w:p>
            <w:pPr>
              <w:ind w:left="1620"/>
              <w:spacing w:after="0" w:line="54" w:lineRule="exact"/>
              <w:rPr>
                <w:sz w:val="20"/>
                <w:szCs w:val="20"/>
                <w:color w:val="auto"/>
              </w:rPr>
            </w:pPr>
            <w:r>
              <w:rPr>
                <w:rFonts w:ascii="Arial" w:cs="Arial" w:eastAsia="Arial" w:hAnsi="Arial"/>
                <w:sz w:val="5"/>
                <w:szCs w:val="5"/>
                <w:color w:val="auto"/>
              </w:rPr>
              <w:t>​ ​​</w:t>
            </w:r>
          </w:p>
        </w:tc>
        <w:tc>
          <w:tcPr>
            <w:tcW w:w="84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w:t>
            </w:r>
          </w:p>
        </w:tc>
        <w:tc>
          <w:tcPr>
            <w:tcW w:w="760" w:type="dxa"/>
            <w:vAlign w:val="bottom"/>
            <w:shd w:val="clear" w:color="auto" w:fill="E5E5E5"/>
          </w:tcPr>
          <w:p>
            <w:pPr>
              <w:jc w:val="right"/>
              <w:ind w:right="380"/>
              <w:spacing w:after="0" w:line="54" w:lineRule="exact"/>
              <w:rPr>
                <w:sz w:val="20"/>
                <w:szCs w:val="20"/>
                <w:color w:val="auto"/>
              </w:rPr>
            </w:pPr>
            <w:r>
              <w:rPr>
                <w:rFonts w:ascii="Arial" w:cs="Arial" w:eastAsia="Arial" w:hAnsi="Arial"/>
                <w:sz w:val="5"/>
                <w:szCs w:val="5"/>
                <w:color w:val="auto"/>
              </w:rPr>
              <w:t>​​ ​ ​</w:t>
            </w:r>
          </w:p>
        </w:tc>
        <w:tc>
          <w:tcPr>
            <w:tcW w:w="6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 ​</w:t>
            </w:r>
          </w:p>
        </w:tc>
        <w:tc>
          <w:tcPr>
            <w:tcW w:w="700" w:type="dxa"/>
            <w:vAlign w:val="bottom"/>
            <w:shd w:val="clear" w:color="auto" w:fill="E5E5E5"/>
          </w:tcPr>
          <w:p>
            <w:pPr>
              <w:jc w:val="right"/>
              <w:ind w:right="133"/>
              <w:spacing w:after="0" w:line="54" w:lineRule="exact"/>
              <w:rPr>
                <w:sz w:val="20"/>
                <w:szCs w:val="20"/>
                <w:color w:val="auto"/>
              </w:rPr>
            </w:pPr>
            <w:r>
              <w:rPr>
                <w:rFonts w:ascii="Arial" w:cs="Arial" w:eastAsia="Arial" w:hAnsi="Arial"/>
                <w:sz w:val="5"/>
                <w:szCs w:val="5"/>
                <w:color w:val="auto"/>
              </w:rPr>
              <w:t>​​ ​</w:t>
            </w:r>
          </w:p>
        </w:tc>
        <w:tc>
          <w:tcPr>
            <w:tcW w:w="820" w:type="dxa"/>
            <w:vAlign w:val="bottom"/>
            <w:shd w:val="clear" w:color="auto" w:fill="E5E5E5"/>
          </w:tcPr>
          <w:p>
            <w:pPr>
              <w:ind w:left="160"/>
              <w:spacing w:after="0" w:line="54" w:lineRule="exact"/>
              <w:rPr>
                <w:sz w:val="20"/>
                <w:szCs w:val="20"/>
                <w:color w:val="auto"/>
              </w:rPr>
            </w:pPr>
            <w:r>
              <w:rPr>
                <w:rFonts w:ascii="Arial" w:cs="Arial" w:eastAsia="Arial" w:hAnsi="Arial"/>
                <w:sz w:val="5"/>
                <w:szCs w:val="5"/>
                <w:color w:val="auto"/>
              </w:rPr>
              <w:t>​</w:t>
            </w:r>
          </w:p>
        </w:tc>
        <w:tc>
          <w:tcPr>
            <w:tcW w:w="12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-445135</wp:posOffset>
            </wp:positionV>
            <wp:extent cx="2854325" cy="291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54325" cy="29146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37" w:lineRule="exact"/>
        <w:rPr>
          <w:sz w:val="20"/>
          <w:szCs w:val="20"/>
          <w:color w:val="auto"/>
        </w:rPr>
      </w:pPr>
    </w:p>
    <w:p>
      <w:pPr>
        <w:ind w:left="1000" w:hanging="197"/>
        <w:spacing w:after="0"/>
        <w:tabs>
          <w:tab w:leader="none" w:pos="10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Plus: Interest expense, net</w:t>
      </w:r>
    </w:p>
    <w:p>
      <w:pPr>
        <w:spacing w:after="0" w:line="70" w:lineRule="exact"/>
        <w:rPr>
          <w:rFonts w:ascii="Arial" w:cs="Arial" w:eastAsia="Arial" w:hAnsi="Arial"/>
          <w:sz w:val="15"/>
          <w:szCs w:val="15"/>
          <w:color w:val="auto"/>
        </w:rPr>
      </w:pPr>
    </w:p>
    <w:p>
      <w:pPr>
        <w:ind w:left="1000" w:hanging="197"/>
        <w:spacing w:after="0"/>
        <w:tabs>
          <w:tab w:leader="none" w:pos="10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Plus: Income tax expense</w:t>
      </w:r>
    </w:p>
    <w:p>
      <w:pPr>
        <w:spacing w:after="0" w:line="54" w:lineRule="exact"/>
        <w:rPr>
          <w:rFonts w:ascii="Arial" w:cs="Arial" w:eastAsia="Arial" w:hAnsi="Arial"/>
          <w:sz w:val="15"/>
          <w:szCs w:val="15"/>
          <w:color w:val="auto"/>
        </w:rPr>
      </w:pPr>
    </w:p>
    <w:p>
      <w:pPr>
        <w:ind w:left="1000" w:hanging="197"/>
        <w:spacing w:after="0" w:line="180" w:lineRule="auto"/>
        <w:tabs>
          <w:tab w:leader="none" w:pos="1000" w:val="left"/>
        </w:tabs>
        <w:numPr>
          <w:ilvl w:val="0"/>
          <w:numId w:val="102"/>
        </w:numPr>
        <w:rPr>
          <w:rFonts w:ascii="Arial" w:cs="Arial" w:eastAsia="Arial" w:hAnsi="Arial"/>
          <w:sz w:val="25"/>
          <w:szCs w:val="25"/>
          <w:color w:val="auto"/>
          <w:vertAlign w:val="subscript"/>
        </w:rPr>
      </w:pPr>
      <w:r>
        <w:rPr>
          <w:rFonts w:ascii="Arial" w:cs="Arial" w:eastAsia="Arial" w:hAnsi="Arial"/>
          <w:sz w:val="13"/>
          <w:szCs w:val="13"/>
          <w:color w:val="auto"/>
        </w:rPr>
        <w:t>Plus: Debt refinancing charges</w:t>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​Operating profit (loss)</w:t>
      </w:r>
    </w:p>
    <w:p>
      <w:pPr>
        <w:spacing w:after="0" w:line="71" w:lineRule="exact"/>
        <w:rPr>
          <w:sz w:val="20"/>
          <w:szCs w:val="20"/>
          <w:color w:val="auto"/>
        </w:rPr>
      </w:pPr>
    </w:p>
    <w:p>
      <w:pPr>
        <w:ind w:left="1000" w:hanging="197"/>
        <w:spacing w:after="0"/>
        <w:tabs>
          <w:tab w:leader="none" w:pos="10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Plus: Amortization, Depreciation</w:t>
      </w:r>
    </w:p>
    <w:p>
      <w:pPr>
        <w:spacing w:after="0" w:line="70" w:lineRule="exact"/>
        <w:rPr>
          <w:rFonts w:ascii="Arial" w:cs="Arial" w:eastAsia="Arial" w:hAnsi="Arial"/>
          <w:sz w:val="15"/>
          <w:szCs w:val="15"/>
          <w:color w:val="auto"/>
        </w:rPr>
      </w:pPr>
    </w:p>
    <w:p>
      <w:pPr>
        <w:ind w:left="1000" w:hanging="197"/>
        <w:spacing w:after="0"/>
        <w:tabs>
          <w:tab w:leader="none" w:pos="10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Plus: Stock-based compensation</w:t>
      </w:r>
    </w:p>
    <w:p>
      <w:pPr>
        <w:spacing w:after="0" w:line="54" w:lineRule="exact"/>
        <w:rPr>
          <w:rFonts w:ascii="Arial" w:cs="Arial" w:eastAsia="Arial" w:hAnsi="Arial"/>
          <w:sz w:val="15"/>
          <w:szCs w:val="15"/>
          <w:color w:val="auto"/>
        </w:rPr>
      </w:pPr>
    </w:p>
    <w:p>
      <w:pPr>
        <w:ind w:left="1000" w:hanging="197"/>
        <w:spacing w:after="0" w:line="185" w:lineRule="auto"/>
        <w:tabs>
          <w:tab w:leader="none" w:pos="1000" w:val="left"/>
        </w:tabs>
        <w:numPr>
          <w:ilvl w:val="0"/>
          <w:numId w:val="103"/>
        </w:numPr>
        <w:rPr>
          <w:rFonts w:ascii="Arial" w:cs="Arial" w:eastAsia="Arial" w:hAnsi="Arial"/>
          <w:sz w:val="30"/>
          <w:szCs w:val="30"/>
          <w:color w:val="auto"/>
          <w:vertAlign w:val="subscript"/>
        </w:rPr>
      </w:pPr>
      <w:r>
        <w:rPr>
          <w:rFonts w:ascii="Arial" w:cs="Arial" w:eastAsia="Arial" w:hAnsi="Arial"/>
          <w:sz w:val="15"/>
          <w:szCs w:val="15"/>
          <w:color w:val="auto"/>
        </w:rPr>
        <w:t>Plus: Special Items</w:t>
      </w:r>
      <w:r>
        <w:rPr>
          <w:rFonts w:ascii="Arial" w:cs="Arial" w:eastAsia="Arial" w:hAnsi="Arial"/>
          <w:sz w:val="18"/>
          <w:szCs w:val="18"/>
          <w:color w:val="auto"/>
          <w:vertAlign w:val="superscript"/>
        </w:rPr>
        <w:t>(1)</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Acima acquired assets depreciation and amortization</w:t>
      </w:r>
      <w:r>
        <w:rPr>
          <w:rFonts w:ascii="Arial" w:cs="Arial" w:eastAsia="Arial" w:hAnsi="Arial"/>
          <w:sz w:val="18"/>
          <w:szCs w:val="18"/>
          <w:color w:val="auto"/>
          <w:vertAlign w:val="superscript"/>
        </w:rPr>
        <w:t>(2)</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Legal matters</w:t>
      </w:r>
      <w:r>
        <w:rPr>
          <w:rFonts w:ascii="Arial" w:cs="Arial" w:eastAsia="Arial" w:hAnsi="Arial"/>
          <w:sz w:val="18"/>
          <w:szCs w:val="18"/>
          <w:color w:val="auto"/>
          <w:vertAlign w:val="superscript"/>
        </w:rPr>
        <w:t>(3)</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Accelerated software depreciation</w:t>
      </w:r>
      <w:r>
        <w:rPr>
          <w:rFonts w:ascii="Arial" w:cs="Arial" w:eastAsia="Arial" w:hAnsi="Arial"/>
          <w:sz w:val="18"/>
          <w:szCs w:val="18"/>
          <w:color w:val="auto"/>
          <w:vertAlign w:val="superscript"/>
        </w:rPr>
        <w:t>(4)</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Asset Impairment</w:t>
      </w:r>
      <w:r>
        <w:rPr>
          <w:rFonts w:ascii="Arial" w:cs="Arial" w:eastAsia="Arial" w:hAnsi="Arial"/>
          <w:sz w:val="18"/>
          <w:szCs w:val="18"/>
          <w:color w:val="auto"/>
          <w:vertAlign w:val="superscript"/>
        </w:rPr>
        <w:t>(5)</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Accelerated stock compensation</w:t>
      </w:r>
      <w:r>
        <w:rPr>
          <w:rFonts w:ascii="Arial" w:cs="Arial" w:eastAsia="Arial" w:hAnsi="Arial"/>
          <w:sz w:val="18"/>
          <w:szCs w:val="18"/>
          <w:color w:val="auto"/>
          <w:vertAlign w:val="superscript"/>
        </w:rPr>
        <w:t>(6)</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Acima equity consideration vesting</w:t>
      </w:r>
      <w:r>
        <w:rPr>
          <w:rFonts w:ascii="Arial" w:cs="Arial" w:eastAsia="Arial" w:hAnsi="Arial"/>
          <w:sz w:val="18"/>
          <w:szCs w:val="18"/>
          <w:color w:val="auto"/>
          <w:vertAlign w:val="superscript"/>
        </w:rPr>
        <w:t>(7)</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Transaction fees</w:t>
      </w:r>
      <w:r>
        <w:rPr>
          <w:rFonts w:ascii="Arial" w:cs="Arial" w:eastAsia="Arial" w:hAnsi="Arial"/>
          <w:sz w:val="18"/>
          <w:szCs w:val="18"/>
          <w:color w:val="auto"/>
          <w:vertAlign w:val="superscript"/>
        </w:rPr>
        <w:t>(8)</w:t>
      </w:r>
    </w:p>
    <w:p>
      <w:pPr>
        <w:ind w:left="1140" w:hanging="337"/>
        <w:spacing w:after="0" w:line="184" w:lineRule="auto"/>
        <w:tabs>
          <w:tab w:leader="none" w:pos="1140" w:val="left"/>
        </w:tabs>
        <w:numPr>
          <w:ilvl w:val="0"/>
          <w:numId w:val="103"/>
        </w:numPr>
        <w:rPr>
          <w:rFonts w:ascii="Arial" w:cs="Arial" w:eastAsia="Arial" w:hAnsi="Arial"/>
          <w:sz w:val="29"/>
          <w:szCs w:val="29"/>
          <w:color w:val="auto"/>
          <w:vertAlign w:val="subscript"/>
        </w:rPr>
      </w:pPr>
      <w:r>
        <w:rPr>
          <w:rFonts w:ascii="Arial" w:cs="Arial" w:eastAsia="Arial" w:hAnsi="Arial"/>
          <w:sz w:val="15"/>
          <w:szCs w:val="15"/>
          <w:color w:val="auto"/>
        </w:rPr>
        <w:t>Other</w:t>
      </w:r>
      <w:r>
        <w:rPr>
          <w:rFonts w:ascii="Arial" w:cs="Arial" w:eastAsia="Arial" w:hAnsi="Arial"/>
          <w:sz w:val="18"/>
          <w:szCs w:val="18"/>
          <w:color w:val="auto"/>
          <w:vertAlign w:val="superscript"/>
        </w:rPr>
        <w:t>(9)</w:t>
      </w:r>
    </w:p>
    <w:p>
      <w:pPr>
        <w:ind w:left="800"/>
        <w:spacing w:after="0" w:line="188"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Adjusted EBITDA</w:t>
      </w:r>
      <w:r>
        <w:rPr>
          <w:rFonts w:ascii="Arial" w:cs="Arial" w:eastAsia="Arial" w:hAnsi="Arial"/>
          <w:sz w:val="19"/>
          <w:szCs w:val="19"/>
          <w:color w:val="auto"/>
          <w:vertAlign w:val="superscript"/>
        </w:rPr>
        <w:t>(10)</w:t>
      </w:r>
    </w:p>
    <w:p>
      <w:pPr>
        <w:ind w:left="800"/>
        <w:spacing w:after="0" w:line="183" w:lineRule="auto"/>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Plus: Annual cash incentive</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(11)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3"/>
          </w:tcPr>
          <w:p>
            <w:pPr>
              <w:jc w:val="right"/>
              <w:ind w:right="88"/>
              <w:spacing w:after="0"/>
              <w:rPr>
                <w:sz w:val="20"/>
                <w:szCs w:val="20"/>
                <w:color w:val="auto"/>
              </w:rPr>
            </w:pPr>
            <w:r>
              <w:rPr>
                <w:rFonts w:ascii="Arial" w:cs="Arial" w:eastAsia="Arial" w:hAnsi="Arial"/>
                <w:sz w:val="15"/>
                <w:szCs w:val="15"/>
                <w:color w:val="auto"/>
              </w:rPr>
              <w:t>​ ​ ​107,486​​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​107,486​​</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54,063​​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54,063​​</w:t>
            </w:r>
          </w:p>
        </w:tc>
        <w:tc>
          <w:tcPr>
            <w:tcW w:w="0" w:type="dxa"/>
            <w:vAlign w:val="bottom"/>
          </w:tcPr>
          <w:p>
            <w:pPr>
              <w:spacing w:after="0"/>
              <w:rPr>
                <w:sz w:val="1"/>
                <w:szCs w:val="1"/>
                <w:color w:val="auto"/>
              </w:rPr>
            </w:pPr>
          </w:p>
        </w:tc>
      </w:tr>
      <w:tr>
        <w:trPr>
          <w:trHeight w:val="235"/>
        </w:trPr>
        <w:tc>
          <w:tcPr>
            <w:tcW w:w="340" w:type="dxa"/>
            <w:vAlign w:val="bottom"/>
            <w:gridSpan w:val="3"/>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72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8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3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0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80" w:type="dxa"/>
            <w:vAlign w:val="bottom"/>
          </w:tcPr>
          <w:p>
            <w:pPr>
              <w:jc w:val="right"/>
              <w:ind w:right="88"/>
              <w:spacing w:after="0" w:line="236" w:lineRule="exact"/>
              <w:rPr>
                <w:sz w:val="20"/>
                <w:szCs w:val="20"/>
                <w:color w:val="auto"/>
              </w:rPr>
            </w:pPr>
            <w:r>
              <w:rPr>
                <w:rFonts w:ascii="Arial" w:cs="Arial" w:eastAsia="Arial" w:hAnsi="Arial"/>
                <w:sz w:val="14"/>
                <w:szCs w:val="14"/>
                <w:color w:val="auto"/>
              </w:rPr>
              <w:t>6,604</w:t>
            </w:r>
            <w:r>
              <w:rPr>
                <w:rFonts w:ascii="Arial" w:cs="Arial" w:eastAsia="Arial" w:hAnsi="Arial"/>
                <w:sz w:val="27"/>
                <w:szCs w:val="27"/>
                <w:color w:val="auto"/>
                <w:vertAlign w:val="subscript"/>
              </w:rPr>
              <w:t>​​ ​</w:t>
            </w:r>
          </w:p>
        </w:tc>
        <w:tc>
          <w:tcPr>
            <w:tcW w:w="380" w:type="dxa"/>
            <w:vAlign w:val="bottom"/>
            <w:gridSpan w:val="2"/>
          </w:tcPr>
          <w:p>
            <w:pPr>
              <w:ind w:left="16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560" w:type="dxa"/>
            <w:vAlign w:val="bottom"/>
          </w:tcPr>
          <w:p>
            <w:pPr>
              <w:jc w:val="right"/>
              <w:spacing w:after="0" w:line="236" w:lineRule="exact"/>
              <w:rPr>
                <w:sz w:val="20"/>
                <w:szCs w:val="20"/>
                <w:color w:val="auto"/>
              </w:rPr>
            </w:pPr>
            <w:r>
              <w:rPr>
                <w:rFonts w:ascii="Arial" w:cs="Arial" w:eastAsia="Arial" w:hAnsi="Arial"/>
                <w:sz w:val="14"/>
                <w:szCs w:val="14"/>
                <w:color w:val="auto"/>
              </w:rPr>
              <w:t>6,604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​255,549</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ind w:right="68"/>
              <w:spacing w:after="0"/>
              <w:rPr>
                <w:sz w:val="20"/>
                <w:szCs w:val="20"/>
                <w:color w:val="auto"/>
              </w:rPr>
            </w:pPr>
            <w:r>
              <w:rPr>
                <w:rFonts w:ascii="Arial" w:cs="Arial" w:eastAsia="Arial" w:hAnsi="Arial"/>
                <w:sz w:val="15"/>
                <w:szCs w:val="15"/>
                <w:color w:val="auto"/>
              </w:rPr>
              <w:t>​297,160</w:t>
            </w: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​4,806</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000" w:type="dxa"/>
            <w:vAlign w:val="bottom"/>
            <w:gridSpan w:val="2"/>
          </w:tcPr>
          <w:p>
            <w:pPr>
              <w:jc w:val="right"/>
              <w:ind w:right="228"/>
              <w:spacing w:after="0"/>
              <w:rPr>
                <w:sz w:val="20"/>
                <w:szCs w:val="20"/>
                <w:color w:val="auto"/>
              </w:rPr>
            </w:pPr>
            <w:r>
              <w:rPr>
                <w:rFonts w:ascii="Arial" w:cs="Arial" w:eastAsia="Arial" w:hAnsi="Arial"/>
                <w:sz w:val="15"/>
                <w:szCs w:val="15"/>
                <w:color w:val="auto"/>
              </w:rPr>
              <w:t>​(265,884)</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9"/>
              <w:spacing w:after="0"/>
              <w:rPr>
                <w:sz w:val="20"/>
                <w:szCs w:val="20"/>
                <w:color w:val="auto"/>
              </w:rPr>
            </w:pPr>
            <w:r>
              <w:rPr>
                <w:rFonts w:ascii="Arial" w:cs="Arial" w:eastAsia="Arial" w:hAnsi="Arial"/>
                <w:sz w:val="15"/>
                <w:szCs w:val="15"/>
                <w:color w:val="auto"/>
              </w:rPr>
              <w:t>​291,631</w:t>
            </w:r>
          </w:p>
        </w:tc>
        <w:tc>
          <w:tcPr>
            <w:tcW w:w="0" w:type="dxa"/>
            <w:vAlign w:val="bottom"/>
          </w:tcPr>
          <w:p>
            <w:pPr>
              <w:spacing w:after="0"/>
              <w:rPr>
                <w:sz w:val="1"/>
                <w:szCs w:val="1"/>
                <w:color w:val="auto"/>
              </w:rPr>
            </w:pPr>
          </w:p>
        </w:tc>
      </w:tr>
      <w:tr>
        <w:trPr>
          <w:trHeight w:val="91"/>
        </w:trPr>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jc w:val="right"/>
              <w:ind w:right="88"/>
              <w:spacing w:after="0" w:line="91" w:lineRule="exact"/>
              <w:rPr>
                <w:sz w:val="20"/>
                <w:szCs w:val="20"/>
                <w:color w:val="auto"/>
              </w:rPr>
            </w:pPr>
            <w:r>
              <w:rPr>
                <w:rFonts w:ascii="Arial" w:cs="Arial" w:eastAsia="Arial" w:hAnsi="Arial"/>
                <w:sz w:val="10"/>
                <w:szCs w:val="10"/>
                <w:color w:val="auto"/>
              </w:rPr>
              <w:t>​​ ​</w:t>
            </w:r>
          </w:p>
        </w:tc>
        <w:tc>
          <w:tcPr>
            <w:tcW w:w="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1440" w:type="dxa"/>
            <w:vAlign w:val="bottom"/>
            <w:gridSpan w:val="4"/>
          </w:tcPr>
          <w:p>
            <w:pPr>
              <w:jc w:val="right"/>
              <w:spacing w:after="0"/>
              <w:rPr>
                <w:sz w:val="20"/>
                <w:szCs w:val="20"/>
                <w:color w:val="auto"/>
              </w:rPr>
            </w:pPr>
            <w:r>
              <w:rPr>
                <w:rFonts w:ascii="Arial" w:cs="Arial" w:eastAsia="Arial" w:hAnsi="Arial"/>
                <w:sz w:val="15"/>
                <w:szCs w:val="15"/>
                <w:color w:val="auto"/>
              </w:rPr>
              <w:t>1,376​​ ​​ ​ 20,508​​</w:t>
            </w:r>
          </w:p>
        </w:tc>
        <w:tc>
          <w:tcPr>
            <w:tcW w:w="760" w:type="dxa"/>
            <w:vAlign w:val="bottom"/>
            <w:gridSpan w:val="4"/>
          </w:tcPr>
          <w:p>
            <w:pPr>
              <w:jc w:val="right"/>
              <w:spacing w:after="0"/>
              <w:rPr>
                <w:sz w:val="20"/>
                <w:szCs w:val="20"/>
                <w:color w:val="auto"/>
              </w:rPr>
            </w:pPr>
            <w:r>
              <w:rPr>
                <w:rFonts w:ascii="Arial" w:cs="Arial" w:eastAsia="Arial" w:hAnsi="Arial"/>
                <w:sz w:val="15"/>
                <w:szCs w:val="15"/>
                <w:color w:val="auto"/>
              </w:rPr>
              <w:t>​ ​ ​1,566​​</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27,436​​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50,886​​</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 ​​ ​</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26,108​​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26,108​​</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4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060" w:type="dxa"/>
            <w:vAlign w:val="bottom"/>
            <w:gridSpan w:val="5"/>
          </w:tcPr>
          <w:p>
            <w:pPr>
              <w:spacing w:after="0"/>
              <w:rPr>
                <w:sz w:val="20"/>
                <w:szCs w:val="20"/>
                <w:color w:val="auto"/>
              </w:rPr>
            </w:pPr>
            <w:r>
              <w:rPr>
                <w:rFonts w:ascii="Arial" w:cs="Arial" w:eastAsia="Arial" w:hAnsi="Arial"/>
                <w:sz w:val="15"/>
                <w:szCs w:val="15"/>
                <w:color w:val="auto"/>
              </w:rPr>
              <w:t>​ ​​ ​ 45,460​​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15,887​​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61,347​​</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15,764​​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15,764​​</w:t>
            </w:r>
          </w:p>
        </w:tc>
        <w:tc>
          <w:tcPr>
            <w:tcW w:w="0" w:type="dxa"/>
            <w:vAlign w:val="bottom"/>
          </w:tcPr>
          <w:p>
            <w:pPr>
              <w:spacing w:after="0"/>
              <w:rPr>
                <w:sz w:val="1"/>
                <w:szCs w:val="1"/>
                <w:color w:val="auto"/>
              </w:rPr>
            </w:pPr>
          </w:p>
        </w:tc>
      </w:tr>
      <w:tr>
        <w:trPr>
          <w:trHeight w:val="256"/>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6,145​​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6,145​​</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5,944​​</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5,944​​</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5,073​​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5,073​​</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4,893​​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4,893​​</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3,656​​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3,656​​</w:t>
            </w:r>
          </w:p>
        </w:tc>
        <w:tc>
          <w:tcPr>
            <w:tcW w:w="0" w:type="dxa"/>
            <w:vAlign w:val="bottom"/>
          </w:tcPr>
          <w:p>
            <w:pPr>
              <w:spacing w:after="0"/>
              <w:rPr>
                <w:sz w:val="1"/>
                <w:szCs w:val="1"/>
                <w:color w:val="auto"/>
              </w:rPr>
            </w:pPr>
          </w:p>
        </w:tc>
      </w:tr>
      <w:tr>
        <w:trPr>
          <w:trHeight w:val="235"/>
        </w:trPr>
        <w:tc>
          <w:tcPr>
            <w:tcW w:w="340" w:type="dxa"/>
            <w:vAlign w:val="bottom"/>
            <w:gridSpan w:val="3"/>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6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580" w:type="dxa"/>
            <w:vAlign w:val="bottom"/>
          </w:tcPr>
          <w:p>
            <w:pPr>
              <w:jc w:val="right"/>
              <w:spacing w:after="0" w:line="236" w:lineRule="exact"/>
              <w:rPr>
                <w:sz w:val="20"/>
                <w:szCs w:val="20"/>
                <w:color w:val="auto"/>
              </w:rPr>
            </w:pPr>
            <w:r>
              <w:rPr>
                <w:rFonts w:ascii="Arial" w:cs="Arial" w:eastAsia="Arial" w:hAnsi="Arial"/>
                <w:sz w:val="14"/>
                <w:szCs w:val="14"/>
                <w:color w:val="auto"/>
              </w:rPr>
              <w:t>1,384</w:t>
            </w:r>
            <w:r>
              <w:rPr>
                <w:rFonts w:ascii="Arial" w:cs="Arial" w:eastAsia="Arial" w:hAnsi="Arial"/>
                <w:sz w:val="27"/>
                <w:szCs w:val="27"/>
                <w:color w:val="auto"/>
                <w:vertAlign w:val="subscript"/>
              </w:rPr>
              <w:t>​​</w:t>
            </w:r>
          </w:p>
        </w:tc>
        <w:tc>
          <w:tcPr>
            <w:tcW w:w="38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3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0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80" w:type="dxa"/>
            <w:vAlign w:val="bottom"/>
          </w:tcPr>
          <w:p>
            <w:pPr>
              <w:jc w:val="right"/>
              <w:ind w:right="88"/>
              <w:spacing w:after="0" w:line="236" w:lineRule="exact"/>
              <w:rPr>
                <w:sz w:val="20"/>
                <w:szCs w:val="20"/>
                <w:color w:val="auto"/>
              </w:rPr>
            </w:pPr>
            <w:r>
              <w:rPr>
                <w:rFonts w:ascii="Arial" w:cs="Arial" w:eastAsia="Arial" w:hAnsi="Arial"/>
                <w:sz w:val="27"/>
                <w:szCs w:val="27"/>
                <w:color w:val="auto"/>
                <w:vertAlign w:val="superscript"/>
              </w:rPr>
              <w:t>374</w:t>
            </w:r>
            <w:r>
              <w:rPr>
                <w:rFonts w:ascii="Arial" w:cs="Arial" w:eastAsia="Arial" w:hAnsi="Arial"/>
                <w:sz w:val="14"/>
                <w:szCs w:val="14"/>
                <w:color w:val="auto"/>
              </w:rPr>
              <w:t>​​ ​</w:t>
            </w:r>
          </w:p>
        </w:tc>
        <w:tc>
          <w:tcPr>
            <w:tcW w:w="380" w:type="dxa"/>
            <w:vAlign w:val="bottom"/>
            <w:gridSpan w:val="2"/>
          </w:tcPr>
          <w:p>
            <w:pPr>
              <w:ind w:left="1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w:t>
            </w:r>
          </w:p>
        </w:tc>
        <w:tc>
          <w:tcPr>
            <w:tcW w:w="560" w:type="dxa"/>
            <w:vAlign w:val="bottom"/>
          </w:tcPr>
          <w:p>
            <w:pPr>
              <w:jc w:val="right"/>
              <w:spacing w:after="0" w:line="236" w:lineRule="exact"/>
              <w:rPr>
                <w:sz w:val="20"/>
                <w:szCs w:val="20"/>
                <w:color w:val="auto"/>
              </w:rPr>
            </w:pPr>
            <w:r>
              <w:rPr>
                <w:rFonts w:ascii="Arial" w:cs="Arial" w:eastAsia="Arial" w:hAnsi="Arial"/>
                <w:sz w:val="14"/>
                <w:szCs w:val="14"/>
                <w:color w:val="auto"/>
              </w:rPr>
              <w:t>1,758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$302,385</w:t>
            </w:r>
          </w:p>
        </w:tc>
        <w:tc>
          <w:tcPr>
            <w:tcW w:w="980" w:type="dxa"/>
            <w:vAlign w:val="bottom"/>
            <w:tcBorders>
              <w:top w:val="single" w:sz="8" w:color="auto"/>
            </w:tcBorders>
            <w:gridSpan w:val="3"/>
          </w:tcPr>
          <w:p>
            <w:pPr>
              <w:jc w:val="right"/>
              <w:ind w:right="68"/>
              <w:spacing w:after="0"/>
              <w:rPr>
                <w:sz w:val="20"/>
                <w:szCs w:val="20"/>
                <w:color w:val="auto"/>
              </w:rPr>
            </w:pPr>
            <w:r>
              <w:rPr>
                <w:rFonts w:ascii="Arial" w:cs="Arial" w:eastAsia="Arial" w:hAnsi="Arial"/>
                <w:sz w:val="15"/>
                <w:szCs w:val="15"/>
                <w:color w:val="auto"/>
              </w:rPr>
              <w:t>$324,996</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$6,372</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gridSpan w:val="3"/>
          </w:tcPr>
          <w:p>
            <w:pPr>
              <w:jc w:val="right"/>
              <w:ind w:right="228"/>
              <w:spacing w:after="0"/>
              <w:rPr>
                <w:sz w:val="20"/>
                <w:szCs w:val="20"/>
                <w:color w:val="auto"/>
              </w:rPr>
            </w:pPr>
            <w:r>
              <w:rPr>
                <w:rFonts w:ascii="Arial" w:cs="Arial" w:eastAsia="Arial" w:hAnsi="Arial"/>
                <w:sz w:val="15"/>
                <w:szCs w:val="15"/>
                <w:color w:val="auto"/>
              </w:rPr>
              <w:t>$(160,548)</w:t>
            </w:r>
          </w:p>
        </w:tc>
        <w:tc>
          <w:tcPr>
            <w:tcW w:w="940" w:type="dxa"/>
            <w:vAlign w:val="bottom"/>
            <w:tcBorders>
              <w:top w:val="single" w:sz="8" w:color="auto"/>
            </w:tcBorders>
            <w:gridSpan w:val="3"/>
          </w:tcPr>
          <w:p>
            <w:pPr>
              <w:jc w:val="right"/>
              <w:ind w:right="49"/>
              <w:spacing w:after="0"/>
              <w:rPr>
                <w:sz w:val="20"/>
                <w:szCs w:val="20"/>
                <w:color w:val="auto"/>
              </w:rPr>
            </w:pPr>
            <w:r>
              <w:rPr>
                <w:rFonts w:ascii="Arial" w:cs="Arial" w:eastAsia="Arial" w:hAnsi="Arial"/>
                <w:sz w:val="15"/>
                <w:szCs w:val="15"/>
                <w:color w:val="auto"/>
              </w:rPr>
              <w:t>$473,205</w:t>
            </w:r>
          </w:p>
        </w:tc>
        <w:tc>
          <w:tcPr>
            <w:tcW w:w="0" w:type="dxa"/>
            <w:vAlign w:val="bottom"/>
          </w:tcPr>
          <w:p>
            <w:pPr>
              <w:spacing w:after="0"/>
              <w:rPr>
                <w:sz w:val="1"/>
                <w:szCs w:val="1"/>
                <w:color w:val="auto"/>
              </w:rPr>
            </w:pPr>
          </w:p>
        </w:tc>
      </w:tr>
      <w:tr>
        <w:trPr>
          <w:trHeight w:val="91"/>
        </w:trPr>
        <w:tc>
          <w:tcPr>
            <w:tcW w:w="220" w:type="dxa"/>
            <w:vAlign w:val="bottom"/>
            <w:gridSpan w:val="2"/>
          </w:tcPr>
          <w:p>
            <w:pPr>
              <w:spacing w:after="0" w:line="91"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00" w:type="dxa"/>
            <w:vAlign w:val="bottom"/>
          </w:tcPr>
          <w:p>
            <w:pPr>
              <w:ind w:left="20"/>
              <w:spacing w:after="0" w:line="91" w:lineRule="exact"/>
              <w:rPr>
                <w:sz w:val="20"/>
                <w:szCs w:val="20"/>
                <w:color w:val="auto"/>
              </w:rPr>
            </w:pPr>
            <w:r>
              <w:rPr>
                <w:rFonts w:ascii="Arial" w:cs="Arial" w:eastAsia="Arial" w:hAnsi="Arial"/>
                <w:sz w:val="10"/>
                <w:szCs w:val="10"/>
                <w:color w:val="auto"/>
              </w:rPr>
              <w:t>​ ​</w:t>
            </w: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tcPr>
          <w:p>
            <w:pPr>
              <w:ind w:left="20"/>
              <w:spacing w:after="0" w:line="91"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7"/>
                <w:szCs w:val="7"/>
                <w:color w:val="auto"/>
              </w:rPr>
            </w:pPr>
          </w:p>
        </w:tc>
        <w:tc>
          <w:tcPr>
            <w:tcW w:w="880" w:type="dxa"/>
            <w:vAlign w:val="bottom"/>
          </w:tcPr>
          <w:p>
            <w:pPr>
              <w:jc w:val="right"/>
              <w:ind w:right="88"/>
              <w:spacing w:after="0" w:line="91" w:lineRule="exact"/>
              <w:rPr>
                <w:sz w:val="20"/>
                <w:szCs w:val="20"/>
                <w:color w:val="auto"/>
              </w:rPr>
            </w:pPr>
            <w:r>
              <w:rPr>
                <w:rFonts w:ascii="Arial" w:cs="Arial" w:eastAsia="Arial" w:hAnsi="Arial"/>
                <w:sz w:val="10"/>
                <w:szCs w:val="10"/>
                <w:color w:val="auto"/>
              </w:rPr>
              <w:t>​​ ​</w:t>
            </w:r>
          </w:p>
        </w:tc>
        <w:tc>
          <w:tcPr>
            <w:tcW w:w="240" w:type="dxa"/>
            <w:vAlign w:val="bottom"/>
          </w:tcPr>
          <w:p>
            <w:pPr>
              <w:ind w:left="160"/>
              <w:spacing w:after="0" w:line="91"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860" w:type="dxa"/>
            <w:vAlign w:val="bottom"/>
            <w:gridSpan w:val="3"/>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580" w:type="dxa"/>
            <w:vAlign w:val="bottom"/>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380" w:type="dxa"/>
            <w:vAlign w:val="bottom"/>
            <w:gridSpan w:val="2"/>
          </w:tcPr>
          <w:p>
            <w:pPr>
              <w:ind w:left="20"/>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380" w:type="dxa"/>
            <w:vAlign w:val="bottom"/>
            <w:gridSpan w:val="2"/>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300" w:type="dxa"/>
            <w:vAlign w:val="bottom"/>
            <w:gridSpan w:val="2"/>
          </w:tcPr>
          <w:p>
            <w:pPr>
              <w:ind w:left="20"/>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880" w:type="dxa"/>
            <w:vAlign w:val="bottom"/>
          </w:tcPr>
          <w:p>
            <w:pPr>
              <w:jc w:val="right"/>
              <w:ind w:right="88"/>
              <w:spacing w:after="0" w:line="220" w:lineRule="exact"/>
              <w:rPr>
                <w:sz w:val="20"/>
                <w:szCs w:val="20"/>
                <w:color w:val="auto"/>
              </w:rPr>
            </w:pPr>
            <w:r>
              <w:rPr>
                <w:rFonts w:ascii="Arial" w:cs="Arial" w:eastAsia="Arial" w:hAnsi="Arial"/>
                <w:sz w:val="13"/>
                <w:szCs w:val="13"/>
                <w:color w:val="auto"/>
              </w:rPr>
              <w:t>15,374</w:t>
            </w:r>
            <w:r>
              <w:rPr>
                <w:rFonts w:ascii="Arial" w:cs="Arial" w:eastAsia="Arial" w:hAnsi="Arial"/>
                <w:sz w:val="25"/>
                <w:szCs w:val="25"/>
                <w:color w:val="auto"/>
                <w:vertAlign w:val="subscript"/>
              </w:rPr>
              <w:t>​​ ​</w:t>
            </w:r>
          </w:p>
        </w:tc>
        <w:tc>
          <w:tcPr>
            <w:tcW w:w="940" w:type="dxa"/>
            <w:vAlign w:val="bottom"/>
            <w:gridSpan w:val="3"/>
          </w:tcPr>
          <w:p>
            <w:pPr>
              <w:jc w:val="right"/>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 15,374</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$302,385</w:t>
            </w:r>
          </w:p>
        </w:tc>
        <w:tc>
          <w:tcPr>
            <w:tcW w:w="980" w:type="dxa"/>
            <w:vAlign w:val="bottom"/>
            <w:tcBorders>
              <w:top w:val="single" w:sz="8" w:color="auto"/>
            </w:tcBorders>
            <w:gridSpan w:val="3"/>
          </w:tcPr>
          <w:p>
            <w:pPr>
              <w:jc w:val="right"/>
              <w:ind w:right="68"/>
              <w:spacing w:after="0"/>
              <w:rPr>
                <w:sz w:val="20"/>
                <w:szCs w:val="20"/>
                <w:color w:val="auto"/>
              </w:rPr>
            </w:pPr>
            <w:r>
              <w:rPr>
                <w:rFonts w:ascii="Arial" w:cs="Arial" w:eastAsia="Arial" w:hAnsi="Arial"/>
                <w:sz w:val="15"/>
                <w:szCs w:val="15"/>
                <w:color w:val="auto"/>
              </w:rPr>
              <w:t>$324,996</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$6,372</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gridSpan w:val="3"/>
          </w:tcPr>
          <w:p>
            <w:pPr>
              <w:jc w:val="right"/>
              <w:ind w:right="228"/>
              <w:spacing w:after="0"/>
              <w:rPr>
                <w:sz w:val="20"/>
                <w:szCs w:val="20"/>
                <w:color w:val="auto"/>
              </w:rPr>
            </w:pPr>
            <w:r>
              <w:rPr>
                <w:rFonts w:ascii="Arial" w:cs="Arial" w:eastAsia="Arial" w:hAnsi="Arial"/>
                <w:sz w:val="15"/>
                <w:szCs w:val="15"/>
                <w:color w:val="auto"/>
              </w:rPr>
              <w:t>$(145,174)</w:t>
            </w:r>
          </w:p>
        </w:tc>
        <w:tc>
          <w:tcPr>
            <w:tcW w:w="940" w:type="dxa"/>
            <w:vAlign w:val="bottom"/>
            <w:tcBorders>
              <w:top w:val="single" w:sz="8" w:color="auto"/>
            </w:tcBorders>
            <w:gridSpan w:val="3"/>
          </w:tcPr>
          <w:p>
            <w:pPr>
              <w:jc w:val="right"/>
              <w:ind w:right="49"/>
              <w:spacing w:after="0"/>
              <w:rPr>
                <w:sz w:val="20"/>
                <w:szCs w:val="20"/>
                <w:color w:val="auto"/>
              </w:rPr>
            </w:pPr>
            <w:r>
              <w:rPr>
                <w:rFonts w:ascii="Arial" w:cs="Arial" w:eastAsia="Arial" w:hAnsi="Arial"/>
                <w:sz w:val="15"/>
                <w:szCs w:val="15"/>
                <w:color w:val="auto"/>
              </w:rPr>
              <w:t>$488,579</w:t>
            </w:r>
          </w:p>
        </w:tc>
        <w:tc>
          <w:tcPr>
            <w:tcW w:w="0" w:type="dxa"/>
            <w:vAlign w:val="bottom"/>
          </w:tcPr>
          <w:p>
            <w:pPr>
              <w:spacing w:after="0"/>
              <w:rPr>
                <w:sz w:val="1"/>
                <w:szCs w:val="1"/>
                <w:color w:val="auto"/>
              </w:rPr>
            </w:pPr>
          </w:p>
        </w:tc>
      </w:tr>
      <w:tr>
        <w:trPr>
          <w:trHeight w:val="167"/>
        </w:trPr>
        <w:tc>
          <w:tcPr>
            <w:tcW w:w="220" w:type="dxa"/>
            <w:vAlign w:val="bottom"/>
            <w:gridSpan w:val="2"/>
          </w:tcPr>
          <w:p>
            <w:pPr>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 ​​</w:t>
            </w:r>
          </w:p>
        </w:tc>
        <w:tc>
          <w:tcPr>
            <w:tcW w:w="140" w:type="dxa"/>
            <w:vAlign w:val="bottom"/>
          </w:tcPr>
          <w:p>
            <w:pPr>
              <w:spacing w:after="0"/>
              <w:rPr>
                <w:sz w:val="14"/>
                <w:szCs w:val="14"/>
                <w:color w:val="auto"/>
              </w:rPr>
            </w:pPr>
          </w:p>
        </w:tc>
        <w:tc>
          <w:tcPr>
            <w:tcW w:w="5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200" w:type="dxa"/>
            <w:vAlign w:val="bottom"/>
          </w:tcPr>
          <w:p>
            <w:pPr>
              <w:ind w:left="20"/>
              <w:spacing w:after="0" w:line="167" w:lineRule="exact"/>
              <w:rPr>
                <w:sz w:val="20"/>
                <w:szCs w:val="20"/>
                <w:color w:val="auto"/>
              </w:rPr>
            </w:pPr>
            <w:r>
              <w:rPr>
                <w:rFonts w:ascii="Arial" w:cs="Arial" w:eastAsia="Arial" w:hAnsi="Arial"/>
                <w:sz w:val="15"/>
                <w:szCs w:val="15"/>
                <w:color w:val="auto"/>
              </w:rPr>
              <w:t>​ ​</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ind w:left="20"/>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880" w:type="dxa"/>
            <w:vAlign w:val="bottom"/>
          </w:tcPr>
          <w:p>
            <w:pPr>
              <w:jc w:val="right"/>
              <w:ind w:right="88"/>
              <w:spacing w:after="0" w:line="167" w:lineRule="exact"/>
              <w:rPr>
                <w:sz w:val="20"/>
                <w:szCs w:val="20"/>
                <w:color w:val="auto"/>
              </w:rPr>
            </w:pPr>
            <w:r>
              <w:rPr>
                <w:rFonts w:ascii="Arial" w:cs="Arial" w:eastAsia="Arial" w:hAnsi="Arial"/>
                <w:sz w:val="15"/>
                <w:szCs w:val="15"/>
                <w:color w:val="auto"/>
              </w:rPr>
              <w:t>​​ ​</w:t>
            </w:r>
          </w:p>
        </w:tc>
        <w:tc>
          <w:tcPr>
            <w:tcW w:w="240" w:type="dxa"/>
            <w:vAlign w:val="bottom"/>
          </w:tcPr>
          <w:p>
            <w:pPr>
              <w:ind w:left="160"/>
              <w:spacing w:after="0" w:line="16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-2822575</wp:posOffset>
            </wp:positionV>
            <wp:extent cx="583755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-2188210</wp:posOffset>
            </wp:positionV>
            <wp:extent cx="5837555"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-1871345</wp:posOffset>
            </wp:positionV>
            <wp:extent cx="5837555"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-1545590</wp:posOffset>
            </wp:positionV>
            <wp:extent cx="583755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-1219835</wp:posOffset>
            </wp:positionV>
            <wp:extent cx="5837555"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37555" cy="16256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-894080</wp:posOffset>
            </wp:positionV>
            <wp:extent cx="5837555"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-233680</wp:posOffset>
            </wp:positionV>
            <wp:extent cx="583755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-568325</wp:posOffset>
            </wp:positionV>
            <wp:extent cx="583755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-2505710</wp:posOffset>
            </wp:positionV>
            <wp:extent cx="5837555"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37555"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60" w:space="440"/>
            <w:col w:w="4700"/>
          </w:cols>
          <w:pgMar w:left="580" w:top="97" w:right="1319" w:bottom="1440" w:gutter="0" w:footer="0" w:header="0"/>
          <w:type w:val="continuous"/>
        </w:sectPr>
      </w:pPr>
    </w:p>
    <w:p>
      <w:pPr>
        <w:ind w:left="1120" w:hanging="358"/>
        <w:spacing w:after="0"/>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Special items are reported as Other Gains and Charges in the Company’s Consolidated Statements of Operations.</w:t>
      </w:r>
    </w:p>
    <w:p>
      <w:pPr>
        <w:spacing w:after="0" w:line="14" w:lineRule="exact"/>
        <w:rPr>
          <w:rFonts w:ascii="Arial" w:cs="Arial" w:eastAsia="Arial" w:hAnsi="Arial"/>
          <w:sz w:val="14"/>
          <w:szCs w:val="14"/>
          <w:i w:val="1"/>
          <w:iCs w:val="1"/>
          <w:color w:val="auto"/>
        </w:rPr>
      </w:pPr>
    </w:p>
    <w:p>
      <w:pPr>
        <w:ind w:left="1120" w:right="60" w:hanging="358"/>
        <w:spacing w:after="0" w:line="271" w:lineRule="auto"/>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of approximately $45.5 million related to the total fair value of acquired intangible assets and incremental depreciation of approximately $15.9 million.</w:t>
      </w:r>
    </w:p>
    <w:p>
      <w:pPr>
        <w:jc w:val="both"/>
        <w:ind w:left="1120" w:right="40" w:hanging="358"/>
        <w:spacing w:after="0" w:line="268" w:lineRule="auto"/>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expenses of  $10.7 million related to estimated legal accruals and $5.1 million in litigation and defense expenses for a regulatory lawsuit with the Consumer Financial Protection Bureau (which was previously dismissed with prejudice) and our current regulatory lawsuit with the New York Attorney General, as well as the Multi-State Attorneys’ General regulatory investigation.</w:t>
      </w:r>
    </w:p>
    <w:p>
      <w:pPr>
        <w:jc w:val="both"/>
        <w:ind w:left="1120" w:right="40" w:hanging="358"/>
        <w:spacing w:after="0" w:line="268" w:lineRule="auto"/>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incremental depreciation expense related to the acceleration of the remaining useful life of the point-of-sale system previously used by our Rent-A-Center lease-to-own stores, due to the transition to a new internally developed point-of-sale system that was deployed in the third quarter of 2024.</w:t>
      </w:r>
    </w:p>
    <w:p>
      <w:pPr>
        <w:ind w:left="1120" w:hanging="358"/>
        <w:spacing w:after="0"/>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 impairments of approximately $5.3 million and fixed assets impairments of approximately $0.6 million.</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accelerated stock compensation expense related to our letter agreement with the Company’s former Chief Executive Officer.</w:t>
      </w:r>
    </w:p>
    <w:p>
      <w:pPr>
        <w:spacing w:after="0" w:line="16" w:lineRule="exact"/>
        <w:rPr>
          <w:rFonts w:ascii="Arial" w:cs="Arial" w:eastAsia="Arial" w:hAnsi="Arial"/>
          <w:sz w:val="14"/>
          <w:szCs w:val="14"/>
          <w:i w:val="1"/>
          <w:iCs w:val="1"/>
          <w:color w:val="auto"/>
        </w:rPr>
      </w:pPr>
    </w:p>
    <w:p>
      <w:pPr>
        <w:ind w:left="1120" w:right="60" w:hanging="358"/>
        <w:spacing w:after="0" w:line="270" w:lineRule="auto"/>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stock compensation expense related to common stock issued to Acima Holdings employees under restricted stock agreements as part of the acquisition proceeds subject to vesting restrictions.</w:t>
      </w:r>
    </w:p>
    <w:p>
      <w:pPr>
        <w:ind w:left="1120" w:hanging="358"/>
        <w:spacing w:after="0"/>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transaction fees related to the Brigit acquisition.</w:t>
      </w:r>
    </w:p>
    <w:p>
      <w:pPr>
        <w:spacing w:after="0" w:line="1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includes shutdown and holding expenses related to store closures.</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above in the 2024 Company Performance Highlights.</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As defined above and included in the above Pay Versus Performance tables and 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0"/>
        <w:spacing w:after="0"/>
        <w:tabs>
          <w:tab w:leader="none" w:pos="970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A: RECONCILIATION OF GAAP MEASURES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243840</wp:posOffset>
            </wp:positionV>
            <wp:extent cx="51435" cy="4546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454660"/>
                    </a:xfrm>
                    <a:prstGeom prst="rect">
                      <a:avLst/>
                    </a:prstGeom>
                    <a:noFill/>
                  </pic:spPr>
                </pic:pic>
              </a:graphicData>
            </a:graphic>
          </wp:anchor>
        </w:drawing>
      </w:r>
    </w:p>
    <w:p>
      <w:pPr>
        <w:spacing w:after="0" w:line="385"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920" w:type="dxa"/>
            <w:vAlign w:val="bottom"/>
          </w:tcPr>
          <w:p>
            <w:pPr>
              <w:jc w:val="center"/>
              <w:ind w:right="2736"/>
              <w:spacing w:after="0"/>
              <w:rPr>
                <w:sz w:val="20"/>
                <w:szCs w:val="20"/>
                <w:color w:val="auto"/>
              </w:rPr>
            </w:pPr>
            <w:r>
              <w:rPr>
                <w:rFonts w:ascii="Arial" w:cs="Arial" w:eastAsia="Arial" w:hAnsi="Arial"/>
                <w:sz w:val="15"/>
                <w:szCs w:val="15"/>
                <w:b w:val="1"/>
                <w:bCs w:val="1"/>
                <w:color w:val="auto"/>
              </w:rPr>
              <w:t>​ ​</w:t>
            </w:r>
          </w:p>
        </w:tc>
        <w:tc>
          <w:tcPr>
            <w:tcW w:w="2420" w:type="dxa"/>
            <w:vAlign w:val="bottom"/>
            <w:gridSpan w:val="3"/>
          </w:tcPr>
          <w:p>
            <w:pPr>
              <w:ind w:left="1560"/>
              <w:spacing w:after="0"/>
              <w:rPr>
                <w:sz w:val="20"/>
                <w:szCs w:val="20"/>
                <w:color w:val="auto"/>
              </w:rPr>
            </w:pPr>
            <w:r>
              <w:rPr>
                <w:rFonts w:ascii="Arial" w:cs="Arial" w:eastAsia="Arial" w:hAnsi="Arial"/>
                <w:sz w:val="15"/>
                <w:szCs w:val="15"/>
                <w:b w:val="1"/>
                <w:bCs w:val="1"/>
                <w:color w:val="auto"/>
              </w:rPr>
              <w:t>​ ​</w:t>
            </w:r>
          </w:p>
        </w:tc>
        <w:tc>
          <w:tcPr>
            <w:tcW w:w="2920" w:type="dxa"/>
            <w:vAlign w:val="bottom"/>
            <w:gridSpan w:val="4"/>
          </w:tcPr>
          <w:p>
            <w:pPr>
              <w:jc w:val="right"/>
              <w:ind w:right="233"/>
              <w:spacing w:after="0"/>
              <w:rPr>
                <w:sz w:val="20"/>
                <w:szCs w:val="20"/>
                <w:color w:val="auto"/>
              </w:rPr>
            </w:pPr>
            <w:r>
              <w:rPr>
                <w:rFonts w:ascii="Arial" w:cs="Arial" w:eastAsia="Arial" w:hAnsi="Arial"/>
                <w:sz w:val="15"/>
                <w:szCs w:val="15"/>
                <w:b w:val="1"/>
                <w:bCs w:val="1"/>
                <w:color w:val="auto"/>
              </w:rPr>
              <w:t>Year Ended December 31, 2023</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17"/>
        </w:trPr>
        <w:tc>
          <w:tcPr>
            <w:tcW w:w="2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left="133"/>
              <w:spacing w:after="0"/>
              <w:rPr>
                <w:sz w:val="20"/>
                <w:szCs w:val="20"/>
                <w:color w:val="auto"/>
              </w:rPr>
            </w:pPr>
            <w:r>
              <w:rPr>
                <w:rFonts w:ascii="Arial" w:cs="Arial" w:eastAsia="Arial" w:hAnsi="Arial"/>
                <w:sz w:val="15"/>
                <w:szCs w:val="15"/>
                <w:b w:val="1"/>
                <w:bCs w:val="1"/>
                <w:color w:val="auto"/>
              </w:rPr>
              <w:t>Rent-A-</w:t>
            </w:r>
          </w:p>
        </w:tc>
        <w:tc>
          <w:tcPr>
            <w:tcW w:w="7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920" w:type="dxa"/>
            <w:vAlign w:val="bottom"/>
          </w:tcPr>
          <w:p>
            <w:pPr>
              <w:ind w:left="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 thousands)</w:t>
            </w:r>
          </w:p>
        </w:tc>
        <w:tc>
          <w:tcPr>
            <w:tcW w:w="2420" w:type="dxa"/>
            <w:vAlign w:val="bottom"/>
            <w:gridSpan w:val="3"/>
          </w:tcPr>
          <w:p>
            <w:pPr>
              <w:ind w:left="1620"/>
              <w:spacing w:after="0"/>
              <w:rPr>
                <w:sz w:val="20"/>
                <w:szCs w:val="20"/>
                <w:color w:val="auto"/>
              </w:rPr>
            </w:pPr>
            <w:r>
              <w:rPr>
                <w:rFonts w:ascii="Arial" w:cs="Arial" w:eastAsia="Arial" w:hAnsi="Arial"/>
                <w:sz w:val="15"/>
                <w:szCs w:val="15"/>
                <w:b w:val="1"/>
                <w:bCs w:val="1"/>
                <w:color w:val="auto"/>
              </w:rPr>
              <w:t>​ ​ Acima</w:t>
            </w: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 ​ Center</w:t>
            </w:r>
          </w:p>
        </w:tc>
        <w:tc>
          <w:tcPr>
            <w:tcW w:w="3020" w:type="dxa"/>
            <w:vAlign w:val="bottom"/>
            <w:gridSpan w:val="6"/>
          </w:tcPr>
          <w:p>
            <w:pPr>
              <w:jc w:val="right"/>
              <w:spacing w:after="0"/>
              <w:rPr>
                <w:sz w:val="20"/>
                <w:szCs w:val="20"/>
                <w:color w:val="auto"/>
              </w:rPr>
            </w:pPr>
            <w:r>
              <w:rPr>
                <w:rFonts w:ascii="Arial" w:cs="Arial" w:eastAsia="Arial" w:hAnsi="Arial"/>
                <w:sz w:val="15"/>
                <w:szCs w:val="15"/>
                <w:b w:val="1"/>
                <w:bCs w:val="1"/>
                <w:color w:val="auto"/>
              </w:rPr>
              <w:t>​ ​ Mexico ​ ​Corporate ​ ​Consolidated ​</w:t>
            </w:r>
          </w:p>
        </w:tc>
      </w:tr>
      <w:tr>
        <w:trPr>
          <w:trHeight w:val="183"/>
        </w:trPr>
        <w:tc>
          <w:tcPr>
            <w:tcW w:w="2920" w:type="dxa"/>
            <w:vAlign w:val="bottom"/>
            <w:tcBorders>
              <w:top w:val="single" w:sz="8" w:color="E5E5E5"/>
            </w:tcBorders>
            <w:shd w:val="clear" w:color="auto" w:fill="E5E5E5"/>
          </w:tcPr>
          <w:p>
            <w:pPr>
              <w:ind w:left="80"/>
              <w:spacing w:after="0"/>
              <w:rPr>
                <w:sz w:val="20"/>
                <w:szCs w:val="20"/>
                <w:color w:val="auto"/>
              </w:rPr>
            </w:pPr>
            <w:r>
              <w:rPr>
                <w:rFonts w:ascii="Arial" w:cs="Arial" w:eastAsia="Arial" w:hAnsi="Arial"/>
                <w:sz w:val="15"/>
                <w:szCs w:val="15"/>
                <w:color w:val="auto"/>
              </w:rPr>
              <w:t>Net earnings (loss)</w:t>
            </w:r>
          </w:p>
        </w:tc>
        <w:tc>
          <w:tcPr>
            <w:tcW w:w="1660" w:type="dxa"/>
            <w:vAlign w:val="bottom"/>
            <w:tcBorders>
              <w:top w:val="single" w:sz="8" w:color="E5E5E5"/>
            </w:tcBorders>
            <w:shd w:val="clear" w:color="auto" w:fill="E5E5E5"/>
          </w:tcPr>
          <w:p>
            <w:pPr>
              <w:spacing w:after="0"/>
              <w:rPr>
                <w:sz w:val="15"/>
                <w:szCs w:val="15"/>
                <w:color w:val="auto"/>
              </w:rPr>
            </w:pPr>
          </w:p>
        </w:tc>
        <w:tc>
          <w:tcPr>
            <w:tcW w:w="7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5"/>
                <w:szCs w:val="15"/>
                <w:color w:val="auto"/>
              </w:rPr>
              <w:t>$235,480</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$290,605</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$4,846</w:t>
            </w:r>
          </w:p>
        </w:tc>
        <w:tc>
          <w:tcPr>
            <w:tcW w:w="1320" w:type="dxa"/>
            <w:vAlign w:val="bottom"/>
            <w:tcBorders>
              <w:top w:val="single" w:sz="8" w:color="auto"/>
            </w:tcBorders>
            <w:gridSpan w:val="2"/>
            <w:shd w:val="clear" w:color="auto" w:fill="E5E5E5"/>
          </w:tcPr>
          <w:p>
            <w:pPr>
              <w:jc w:val="right"/>
              <w:ind w:right="273"/>
              <w:spacing w:after="0"/>
              <w:rPr>
                <w:sz w:val="20"/>
                <w:szCs w:val="20"/>
                <w:color w:val="auto"/>
              </w:rPr>
            </w:pPr>
            <w:r>
              <w:rPr>
                <w:rFonts w:ascii="Arial" w:cs="Arial" w:eastAsia="Arial" w:hAnsi="Arial"/>
                <w:sz w:val="15"/>
                <w:szCs w:val="15"/>
                <w:color w:val="auto"/>
              </w:rPr>
              <w:t>$(536,110)</w:t>
            </w:r>
          </w:p>
        </w:tc>
        <w:tc>
          <w:tcPr>
            <w:tcW w:w="3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gridSpan w:val="2"/>
            <w:shd w:val="clear" w:color="auto" w:fill="E5E5E5"/>
          </w:tcPr>
          <w:p>
            <w:pPr>
              <w:jc w:val="right"/>
              <w:ind w:right="8"/>
              <w:spacing w:after="0"/>
              <w:rPr>
                <w:sz w:val="20"/>
                <w:szCs w:val="20"/>
                <w:color w:val="auto"/>
              </w:rPr>
            </w:pPr>
            <w:r>
              <w:rPr>
                <w:rFonts w:ascii="Arial" w:cs="Arial" w:eastAsia="Arial" w:hAnsi="Arial"/>
                <w:sz w:val="15"/>
                <w:szCs w:val="15"/>
                <w:color w:val="auto"/>
              </w:rPr>
              <w:t>(5,179)</w:t>
            </w:r>
          </w:p>
        </w:tc>
      </w:tr>
      <w:tr>
        <w:trPr>
          <w:trHeight w:val="54"/>
        </w:trPr>
        <w:tc>
          <w:tcPr>
            <w:tcW w:w="2920" w:type="dxa"/>
            <w:vAlign w:val="bottom"/>
            <w:shd w:val="clear" w:color="auto" w:fill="E5E5E5"/>
          </w:tcPr>
          <w:p>
            <w:pPr>
              <w:jc w:val="center"/>
              <w:ind w:right="2736"/>
              <w:spacing w:after="0" w:line="54" w:lineRule="exact"/>
              <w:rPr>
                <w:sz w:val="20"/>
                <w:szCs w:val="20"/>
                <w:color w:val="auto"/>
              </w:rPr>
            </w:pPr>
            <w:r>
              <w:rPr>
                <w:rFonts w:ascii="Arial" w:cs="Arial" w:eastAsia="Arial" w:hAnsi="Arial"/>
                <w:sz w:val="5"/>
                <w:szCs w:val="5"/>
                <w:color w:val="auto"/>
              </w:rPr>
              <w:t>​</w:t>
            </w:r>
          </w:p>
        </w:tc>
        <w:tc>
          <w:tcPr>
            <w:tcW w:w="2420" w:type="dxa"/>
            <w:vAlign w:val="bottom"/>
            <w:gridSpan w:val="3"/>
            <w:shd w:val="clear" w:color="auto" w:fill="E5E5E5"/>
          </w:tcPr>
          <w:p>
            <w:pPr>
              <w:ind w:left="1620"/>
              <w:spacing w:after="0" w:line="54" w:lineRule="exact"/>
              <w:rPr>
                <w:sz w:val="20"/>
                <w:szCs w:val="20"/>
                <w:color w:val="auto"/>
              </w:rPr>
            </w:pPr>
            <w:r>
              <w:rPr>
                <w:rFonts w:ascii="Arial" w:cs="Arial" w:eastAsia="Arial" w:hAnsi="Arial"/>
                <w:sz w:val="5"/>
                <w:szCs w:val="5"/>
                <w:color w:val="auto"/>
              </w:rPr>
              <w:t>​ ​​</w:t>
            </w:r>
          </w:p>
        </w:tc>
        <w:tc>
          <w:tcPr>
            <w:tcW w:w="84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w:t>
            </w:r>
          </w:p>
        </w:tc>
        <w:tc>
          <w:tcPr>
            <w:tcW w:w="760" w:type="dxa"/>
            <w:vAlign w:val="bottom"/>
            <w:shd w:val="clear" w:color="auto" w:fill="E5E5E5"/>
          </w:tcPr>
          <w:p>
            <w:pPr>
              <w:jc w:val="right"/>
              <w:ind w:right="380"/>
              <w:spacing w:after="0" w:line="54" w:lineRule="exact"/>
              <w:rPr>
                <w:sz w:val="20"/>
                <w:szCs w:val="20"/>
                <w:color w:val="auto"/>
              </w:rPr>
            </w:pPr>
            <w:r>
              <w:rPr>
                <w:rFonts w:ascii="Arial" w:cs="Arial" w:eastAsia="Arial" w:hAnsi="Arial"/>
                <w:sz w:val="5"/>
                <w:szCs w:val="5"/>
                <w:color w:val="auto"/>
              </w:rPr>
              <w:t>​​ ​ ​</w:t>
            </w:r>
          </w:p>
        </w:tc>
        <w:tc>
          <w:tcPr>
            <w:tcW w:w="6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 ​</w:t>
            </w:r>
          </w:p>
        </w:tc>
        <w:tc>
          <w:tcPr>
            <w:tcW w:w="700" w:type="dxa"/>
            <w:vAlign w:val="bottom"/>
            <w:shd w:val="clear" w:color="auto" w:fill="E5E5E5"/>
          </w:tcPr>
          <w:p>
            <w:pPr>
              <w:jc w:val="right"/>
              <w:ind w:right="133"/>
              <w:spacing w:after="0" w:line="54" w:lineRule="exact"/>
              <w:rPr>
                <w:sz w:val="20"/>
                <w:szCs w:val="20"/>
                <w:color w:val="auto"/>
              </w:rPr>
            </w:pPr>
            <w:r>
              <w:rPr>
                <w:rFonts w:ascii="Arial" w:cs="Arial" w:eastAsia="Arial" w:hAnsi="Arial"/>
                <w:sz w:val="5"/>
                <w:szCs w:val="5"/>
                <w:color w:val="auto"/>
              </w:rPr>
              <w:t>​​ ​</w:t>
            </w:r>
          </w:p>
        </w:tc>
        <w:tc>
          <w:tcPr>
            <w:tcW w:w="320" w:type="dxa"/>
            <w:vAlign w:val="bottom"/>
            <w:shd w:val="clear" w:color="auto" w:fill="E5E5E5"/>
          </w:tcPr>
          <w:p>
            <w:pPr>
              <w:ind w:left="160"/>
              <w:spacing w:after="0" w:line="54" w:lineRule="exact"/>
              <w:rPr>
                <w:sz w:val="20"/>
                <w:szCs w:val="20"/>
                <w:color w:val="auto"/>
              </w:rPr>
            </w:pPr>
            <w:r>
              <w:rPr>
                <w:rFonts w:ascii="Arial" w:cs="Arial" w:eastAsia="Arial" w:hAnsi="Arial"/>
                <w:sz w:val="5"/>
                <w:szCs w:val="5"/>
                <w:color w:val="auto"/>
              </w:rPr>
              <w:t>​</w:t>
            </w:r>
          </w:p>
        </w:tc>
        <w:tc>
          <w:tcPr>
            <w:tcW w:w="500" w:type="dxa"/>
            <w:vAlign w:val="bottom"/>
            <w:shd w:val="clear" w:color="auto" w:fill="E5E5E5"/>
          </w:tcPr>
          <w:p>
            <w:pPr>
              <w:spacing w:after="0"/>
              <w:rPr>
                <w:sz w:val="4"/>
                <w:szCs w:val="4"/>
                <w:color w:val="auto"/>
              </w:rPr>
            </w:pPr>
          </w:p>
        </w:tc>
        <w:tc>
          <w:tcPr>
            <w:tcW w:w="1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-453390</wp:posOffset>
            </wp:positionV>
            <wp:extent cx="2854325" cy="300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4325" cy="3003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37" w:lineRule="exact"/>
        <w:rPr>
          <w:sz w:val="20"/>
          <w:szCs w:val="20"/>
          <w:color w:val="auto"/>
        </w:rPr>
      </w:pPr>
    </w:p>
    <w:p>
      <w:pPr>
        <w:ind w:left="1000" w:hanging="197"/>
        <w:spacing w:after="0"/>
        <w:tabs>
          <w:tab w:leader="none" w:pos="10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Plus: Interest, net</w:t>
      </w:r>
    </w:p>
    <w:p>
      <w:pPr>
        <w:spacing w:after="0" w:line="54" w:lineRule="exact"/>
        <w:rPr>
          <w:rFonts w:ascii="Arial" w:cs="Arial" w:eastAsia="Arial" w:hAnsi="Arial"/>
          <w:sz w:val="15"/>
          <w:szCs w:val="15"/>
          <w:color w:val="auto"/>
        </w:rPr>
      </w:pPr>
    </w:p>
    <w:p>
      <w:pPr>
        <w:ind w:left="1000" w:hanging="197"/>
        <w:spacing w:after="0" w:line="180" w:lineRule="auto"/>
        <w:tabs>
          <w:tab w:leader="none" w:pos="1000" w:val="left"/>
        </w:tabs>
        <w:numPr>
          <w:ilvl w:val="0"/>
          <w:numId w:val="105"/>
        </w:numPr>
        <w:rPr>
          <w:rFonts w:ascii="Arial" w:cs="Arial" w:eastAsia="Arial" w:hAnsi="Arial"/>
          <w:sz w:val="25"/>
          <w:szCs w:val="25"/>
          <w:color w:val="auto"/>
          <w:vertAlign w:val="subscript"/>
        </w:rPr>
      </w:pPr>
      <w:r>
        <w:rPr>
          <w:rFonts w:ascii="Arial" w:cs="Arial" w:eastAsia="Arial" w:hAnsi="Arial"/>
          <w:sz w:val="13"/>
          <w:szCs w:val="13"/>
          <w:color w:val="auto"/>
        </w:rPr>
        <w:t>Plus: Income tax expense</w:t>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​Operating profit (loss)</w:t>
      </w:r>
    </w:p>
    <w:p>
      <w:pPr>
        <w:spacing w:after="0" w:line="71" w:lineRule="exact"/>
        <w:rPr>
          <w:sz w:val="20"/>
          <w:szCs w:val="20"/>
          <w:color w:val="auto"/>
        </w:rPr>
      </w:pPr>
    </w:p>
    <w:p>
      <w:pPr>
        <w:ind w:left="1000" w:hanging="197"/>
        <w:spacing w:after="0"/>
        <w:tabs>
          <w:tab w:leader="none" w:pos="10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Plus: Amortization, Depreciation</w:t>
      </w:r>
    </w:p>
    <w:p>
      <w:pPr>
        <w:spacing w:after="0" w:line="70" w:lineRule="exact"/>
        <w:rPr>
          <w:rFonts w:ascii="Arial" w:cs="Arial" w:eastAsia="Arial" w:hAnsi="Arial"/>
          <w:sz w:val="15"/>
          <w:szCs w:val="15"/>
          <w:color w:val="auto"/>
        </w:rPr>
      </w:pPr>
    </w:p>
    <w:p>
      <w:pPr>
        <w:ind w:left="1000" w:hanging="197"/>
        <w:spacing w:after="0"/>
        <w:tabs>
          <w:tab w:leader="none" w:pos="10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Plus: Stock-based compensation</w:t>
      </w:r>
    </w:p>
    <w:p>
      <w:pPr>
        <w:spacing w:after="0" w:line="54" w:lineRule="exact"/>
        <w:rPr>
          <w:rFonts w:ascii="Arial" w:cs="Arial" w:eastAsia="Arial" w:hAnsi="Arial"/>
          <w:sz w:val="15"/>
          <w:szCs w:val="15"/>
          <w:color w:val="auto"/>
        </w:rPr>
      </w:pPr>
    </w:p>
    <w:p>
      <w:pPr>
        <w:ind w:left="1000" w:hanging="197"/>
        <w:spacing w:after="0" w:line="185" w:lineRule="auto"/>
        <w:tabs>
          <w:tab w:leader="none" w:pos="1000" w:val="left"/>
        </w:tabs>
        <w:numPr>
          <w:ilvl w:val="0"/>
          <w:numId w:val="106"/>
        </w:numPr>
        <w:rPr>
          <w:rFonts w:ascii="Arial" w:cs="Arial" w:eastAsia="Arial" w:hAnsi="Arial"/>
          <w:sz w:val="30"/>
          <w:szCs w:val="30"/>
          <w:color w:val="auto"/>
          <w:vertAlign w:val="subscript"/>
        </w:rPr>
      </w:pPr>
      <w:r>
        <w:rPr>
          <w:rFonts w:ascii="Arial" w:cs="Arial" w:eastAsia="Arial" w:hAnsi="Arial"/>
          <w:sz w:val="15"/>
          <w:szCs w:val="15"/>
          <w:color w:val="auto"/>
        </w:rPr>
        <w:t>Plus: Special Items</w:t>
      </w:r>
      <w:r>
        <w:rPr>
          <w:rFonts w:ascii="Arial" w:cs="Arial" w:eastAsia="Arial" w:hAnsi="Arial"/>
          <w:sz w:val="18"/>
          <w:szCs w:val="18"/>
          <w:color w:val="auto"/>
          <w:vertAlign w:val="superscript"/>
        </w:rPr>
        <w:t>(1)</w:t>
      </w:r>
    </w:p>
    <w:p>
      <w:pPr>
        <w:ind w:left="1140" w:hanging="337"/>
        <w:spacing w:after="0" w:line="184" w:lineRule="auto"/>
        <w:tabs>
          <w:tab w:leader="none" w:pos="1140" w:val="left"/>
        </w:tabs>
        <w:numPr>
          <w:ilvl w:val="0"/>
          <w:numId w:val="106"/>
        </w:numPr>
        <w:rPr>
          <w:rFonts w:ascii="Arial" w:cs="Arial" w:eastAsia="Arial" w:hAnsi="Arial"/>
          <w:sz w:val="29"/>
          <w:szCs w:val="29"/>
          <w:color w:val="auto"/>
          <w:vertAlign w:val="subscript"/>
        </w:rPr>
      </w:pPr>
      <w:r>
        <w:rPr>
          <w:rFonts w:ascii="Arial" w:cs="Arial" w:eastAsia="Arial" w:hAnsi="Arial"/>
          <w:sz w:val="15"/>
          <w:szCs w:val="15"/>
          <w:color w:val="auto"/>
        </w:rPr>
        <w:t>Acima equity consideration vesting</w:t>
      </w:r>
      <w:r>
        <w:rPr>
          <w:rFonts w:ascii="Arial" w:cs="Arial" w:eastAsia="Arial" w:hAnsi="Arial"/>
          <w:sz w:val="18"/>
          <w:szCs w:val="18"/>
          <w:color w:val="auto"/>
          <w:vertAlign w:val="superscript"/>
        </w:rPr>
        <w:t>(2)</w:t>
      </w:r>
    </w:p>
    <w:p>
      <w:pPr>
        <w:ind w:left="1140" w:hanging="337"/>
        <w:spacing w:after="0" w:line="184" w:lineRule="auto"/>
        <w:tabs>
          <w:tab w:leader="none" w:pos="1140" w:val="left"/>
        </w:tabs>
        <w:numPr>
          <w:ilvl w:val="0"/>
          <w:numId w:val="106"/>
        </w:numPr>
        <w:rPr>
          <w:rFonts w:ascii="Arial" w:cs="Arial" w:eastAsia="Arial" w:hAnsi="Arial"/>
          <w:sz w:val="29"/>
          <w:szCs w:val="29"/>
          <w:color w:val="auto"/>
          <w:vertAlign w:val="subscript"/>
        </w:rPr>
      </w:pPr>
      <w:r>
        <w:rPr>
          <w:rFonts w:ascii="Arial" w:cs="Arial" w:eastAsia="Arial" w:hAnsi="Arial"/>
          <w:sz w:val="15"/>
          <w:szCs w:val="15"/>
          <w:color w:val="auto"/>
        </w:rPr>
        <w:t>Acima acquired assets depreciation and amortization</w:t>
      </w:r>
      <w:r>
        <w:rPr>
          <w:rFonts w:ascii="Arial" w:cs="Arial" w:eastAsia="Arial" w:hAnsi="Arial"/>
          <w:sz w:val="18"/>
          <w:szCs w:val="18"/>
          <w:color w:val="auto"/>
          <w:vertAlign w:val="superscript"/>
        </w:rPr>
        <w:t>(3)</w:t>
      </w:r>
    </w:p>
    <w:p>
      <w:pPr>
        <w:ind w:left="1140" w:hanging="337"/>
        <w:spacing w:after="0" w:line="184" w:lineRule="auto"/>
        <w:tabs>
          <w:tab w:leader="none" w:pos="1140" w:val="left"/>
        </w:tabs>
        <w:numPr>
          <w:ilvl w:val="0"/>
          <w:numId w:val="106"/>
        </w:numPr>
        <w:rPr>
          <w:rFonts w:ascii="Arial" w:cs="Arial" w:eastAsia="Arial" w:hAnsi="Arial"/>
          <w:sz w:val="29"/>
          <w:szCs w:val="29"/>
          <w:color w:val="auto"/>
          <w:vertAlign w:val="subscript"/>
        </w:rPr>
      </w:pPr>
      <w:r>
        <w:rPr>
          <w:rFonts w:ascii="Arial" w:cs="Arial" w:eastAsia="Arial" w:hAnsi="Arial"/>
          <w:sz w:val="15"/>
          <w:szCs w:val="15"/>
          <w:color w:val="auto"/>
        </w:rPr>
        <w:t>Accelerated software depreciation</w:t>
      </w:r>
      <w:r>
        <w:rPr>
          <w:rFonts w:ascii="Arial" w:cs="Arial" w:eastAsia="Arial" w:hAnsi="Arial"/>
          <w:sz w:val="18"/>
          <w:szCs w:val="18"/>
          <w:color w:val="auto"/>
          <w:vertAlign w:val="superscript"/>
        </w:rPr>
        <w:t>(4)</w:t>
      </w:r>
    </w:p>
    <w:p>
      <w:pPr>
        <w:spacing w:after="0" w:line="6" w:lineRule="exact"/>
        <w:rPr>
          <w:rFonts w:ascii="Arial" w:cs="Arial" w:eastAsia="Arial" w:hAnsi="Arial"/>
          <w:sz w:val="29"/>
          <w:szCs w:val="29"/>
          <w:color w:val="auto"/>
          <w:vertAlign w:val="subscript"/>
        </w:rPr>
      </w:pPr>
    </w:p>
    <w:p>
      <w:pPr>
        <w:ind w:left="1140" w:hanging="337"/>
        <w:spacing w:after="0"/>
        <w:tabs>
          <w:tab w:leader="none" w:pos="11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Legal settlements</w:t>
      </w:r>
    </w:p>
    <w:p>
      <w:pPr>
        <w:spacing w:after="0" w:line="54" w:lineRule="exact"/>
        <w:rPr>
          <w:rFonts w:ascii="Arial" w:cs="Arial" w:eastAsia="Arial" w:hAnsi="Arial"/>
          <w:sz w:val="15"/>
          <w:szCs w:val="15"/>
          <w:color w:val="auto"/>
        </w:rPr>
      </w:pPr>
    </w:p>
    <w:p>
      <w:pPr>
        <w:ind w:left="1140" w:hanging="337"/>
        <w:spacing w:after="0" w:line="185" w:lineRule="auto"/>
        <w:tabs>
          <w:tab w:leader="none" w:pos="1140" w:val="left"/>
        </w:tabs>
        <w:numPr>
          <w:ilvl w:val="0"/>
          <w:numId w:val="106"/>
        </w:numPr>
        <w:rPr>
          <w:rFonts w:ascii="Arial" w:cs="Arial" w:eastAsia="Arial" w:hAnsi="Arial"/>
          <w:sz w:val="30"/>
          <w:szCs w:val="30"/>
          <w:color w:val="auto"/>
          <w:vertAlign w:val="subscript"/>
        </w:rPr>
      </w:pPr>
      <w:r>
        <w:rPr>
          <w:rFonts w:ascii="Arial" w:cs="Arial" w:eastAsia="Arial" w:hAnsi="Arial"/>
          <w:sz w:val="15"/>
          <w:szCs w:val="15"/>
          <w:color w:val="auto"/>
        </w:rPr>
        <w:t>Other</w:t>
      </w:r>
      <w:r>
        <w:rPr>
          <w:rFonts w:ascii="Arial" w:cs="Arial" w:eastAsia="Arial" w:hAnsi="Arial"/>
          <w:sz w:val="18"/>
          <w:szCs w:val="18"/>
          <w:color w:val="auto"/>
          <w:vertAlign w:val="superscript"/>
        </w:rPr>
        <w:t>(5)</w:t>
      </w:r>
    </w:p>
    <w:p>
      <w:pPr>
        <w:ind w:left="800"/>
        <w:spacing w:after="0" w:line="188"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Adjusted EBITDA</w:t>
      </w:r>
      <w:r>
        <w:rPr>
          <w:rFonts w:ascii="Arial" w:cs="Arial" w:eastAsia="Arial" w:hAnsi="Arial"/>
          <w:sz w:val="19"/>
          <w:szCs w:val="19"/>
          <w:color w:val="auto"/>
          <w:vertAlign w:val="superscript"/>
        </w:rPr>
        <w:t>(6)</w:t>
      </w:r>
    </w:p>
    <w:p>
      <w:pPr>
        <w:ind w:left="800"/>
        <w:spacing w:after="0" w:line="184" w:lineRule="auto"/>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Plus: Annual cash incentive</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4"/>
          </w:tcPr>
          <w:p>
            <w:pPr>
              <w:jc w:val="right"/>
              <w:ind w:right="84"/>
              <w:spacing w:after="0"/>
              <w:rPr>
                <w:sz w:val="20"/>
                <w:szCs w:val="20"/>
                <w:color w:val="auto"/>
              </w:rPr>
            </w:pPr>
            <w:r>
              <w:rPr>
                <w:rFonts w:ascii="Arial" w:cs="Arial" w:eastAsia="Arial" w:hAnsi="Arial"/>
                <w:sz w:val="15"/>
                <w:szCs w:val="15"/>
                <w:color w:val="auto"/>
              </w:rPr>
              <w:t>​ ​ ​109,998​​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​109,998​​</w:t>
            </w:r>
          </w:p>
        </w:tc>
        <w:tc>
          <w:tcPr>
            <w:tcW w:w="0" w:type="dxa"/>
            <w:vAlign w:val="bottom"/>
          </w:tcPr>
          <w:p>
            <w:pPr>
              <w:spacing w:after="0"/>
              <w:rPr>
                <w:sz w:val="1"/>
                <w:szCs w:val="1"/>
                <w:color w:val="auto"/>
              </w:rPr>
            </w:pPr>
          </w:p>
        </w:tc>
      </w:tr>
      <w:tr>
        <w:trPr>
          <w:trHeight w:val="235"/>
        </w:trPr>
        <w:tc>
          <w:tcPr>
            <w:tcW w:w="340" w:type="dxa"/>
            <w:vAlign w:val="bottom"/>
            <w:gridSpan w:val="3"/>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72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80" w:type="dxa"/>
            <w:vAlign w:val="bottom"/>
            <w:gridSpan w:val="3"/>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3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0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80" w:type="dxa"/>
            <w:vAlign w:val="bottom"/>
            <w:gridSpan w:val="2"/>
          </w:tcPr>
          <w:p>
            <w:pPr>
              <w:jc w:val="right"/>
              <w:ind w:right="84"/>
              <w:spacing w:after="0" w:line="236" w:lineRule="exact"/>
              <w:rPr>
                <w:sz w:val="20"/>
                <w:szCs w:val="20"/>
                <w:color w:val="auto"/>
              </w:rPr>
            </w:pPr>
            <w:r>
              <w:rPr>
                <w:rFonts w:ascii="Arial" w:cs="Arial" w:eastAsia="Arial" w:hAnsi="Arial"/>
                <w:sz w:val="14"/>
                <w:szCs w:val="14"/>
                <w:color w:val="auto"/>
              </w:rPr>
              <w:t>58,046</w:t>
            </w:r>
            <w:r>
              <w:rPr>
                <w:rFonts w:ascii="Arial" w:cs="Arial" w:eastAsia="Arial" w:hAnsi="Arial"/>
                <w:sz w:val="27"/>
                <w:szCs w:val="27"/>
                <w:color w:val="auto"/>
                <w:vertAlign w:val="subscript"/>
              </w:rPr>
              <w:t>​​ ​</w:t>
            </w:r>
          </w:p>
        </w:tc>
        <w:tc>
          <w:tcPr>
            <w:tcW w:w="94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 58,046</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​235,480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​290,605</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​4,846</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​(368,066)</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56"/>
              <w:spacing w:after="0"/>
              <w:rPr>
                <w:sz w:val="20"/>
                <w:szCs w:val="20"/>
                <w:color w:val="auto"/>
              </w:rPr>
            </w:pPr>
            <w:r>
              <w:rPr>
                <w:rFonts w:ascii="Arial" w:cs="Arial" w:eastAsia="Arial" w:hAnsi="Arial"/>
                <w:sz w:val="15"/>
                <w:szCs w:val="15"/>
                <w:color w:val="auto"/>
              </w:rPr>
              <w:t>​162,865</w:t>
            </w:r>
          </w:p>
        </w:tc>
        <w:tc>
          <w:tcPr>
            <w:tcW w:w="0" w:type="dxa"/>
            <w:vAlign w:val="bottom"/>
          </w:tcPr>
          <w:p>
            <w:pPr>
              <w:spacing w:after="0"/>
              <w:rPr>
                <w:sz w:val="1"/>
                <w:szCs w:val="1"/>
                <w:color w:val="auto"/>
              </w:rPr>
            </w:pPr>
          </w:p>
        </w:tc>
      </w:tr>
      <w:tr>
        <w:trPr>
          <w:trHeight w:val="91"/>
        </w:trPr>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1,661​​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 18,962​​</w:t>
            </w:r>
          </w:p>
        </w:tc>
        <w:tc>
          <w:tcPr>
            <w:tcW w:w="760" w:type="dxa"/>
            <w:vAlign w:val="bottom"/>
            <w:gridSpan w:val="5"/>
          </w:tcPr>
          <w:p>
            <w:pPr>
              <w:jc w:val="right"/>
              <w:spacing w:after="0"/>
              <w:rPr>
                <w:sz w:val="20"/>
                <w:szCs w:val="20"/>
                <w:color w:val="auto"/>
              </w:rPr>
            </w:pPr>
            <w:r>
              <w:rPr>
                <w:rFonts w:ascii="Arial" w:cs="Arial" w:eastAsia="Arial" w:hAnsi="Arial"/>
                <w:sz w:val="15"/>
                <w:szCs w:val="15"/>
                <w:color w:val="auto"/>
              </w:rPr>
              <w:t>​ ​ ​1,206​​</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29,492​​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51,321​​</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24,609​​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24,609​​</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4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4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4"/>
          </w:tcPr>
          <w:p>
            <w:pPr>
              <w:jc w:val="right"/>
              <w:ind w:right="84"/>
              <w:spacing w:after="0"/>
              <w:rPr>
                <w:sz w:val="20"/>
                <w:szCs w:val="20"/>
                <w:color w:val="auto"/>
              </w:rPr>
            </w:pPr>
            <w:r>
              <w:rPr>
                <w:rFonts w:ascii="Arial" w:cs="Arial" w:eastAsia="Arial" w:hAnsi="Arial"/>
                <w:sz w:val="15"/>
                <w:szCs w:val="15"/>
                <w:color w:val="auto"/>
              </w:rPr>
              <w:t>​ ​ ​137,507​​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​137,507​​</w:t>
            </w:r>
          </w:p>
        </w:tc>
        <w:tc>
          <w:tcPr>
            <w:tcW w:w="0" w:type="dxa"/>
            <w:vAlign w:val="bottom"/>
          </w:tcPr>
          <w:p>
            <w:pPr>
              <w:spacing w:after="0"/>
              <w:rPr>
                <w:sz w:val="1"/>
                <w:szCs w:val="1"/>
                <w:color w:val="auto"/>
              </w:rPr>
            </w:pPr>
          </w:p>
        </w:tc>
      </w:tr>
      <w:tr>
        <w:trPr>
          <w:trHeight w:val="256"/>
        </w:trPr>
        <w:tc>
          <w:tcPr>
            <w:tcW w:w="1060" w:type="dxa"/>
            <w:vAlign w:val="bottom"/>
            <w:gridSpan w:val="5"/>
          </w:tcPr>
          <w:p>
            <w:pPr>
              <w:spacing w:after="0"/>
              <w:rPr>
                <w:sz w:val="20"/>
                <w:szCs w:val="20"/>
                <w:color w:val="auto"/>
              </w:rPr>
            </w:pPr>
            <w:r>
              <w:rPr>
                <w:rFonts w:ascii="Arial" w:cs="Arial" w:eastAsia="Arial" w:hAnsi="Arial"/>
                <w:sz w:val="15"/>
                <w:szCs w:val="15"/>
                <w:color w:val="auto"/>
              </w:rPr>
              <w:t>​ ​​ ​ 57,048​​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15,886​​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72,934​​</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9,218​​ ​</w:t>
            </w:r>
          </w:p>
        </w:tc>
        <w:tc>
          <w:tcPr>
            <w:tcW w:w="34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600" w:type="dxa"/>
            <w:vAlign w:val="bottom"/>
          </w:tcPr>
          <w:p>
            <w:pPr>
              <w:jc w:val="right"/>
              <w:spacing w:after="0"/>
              <w:rPr>
                <w:sz w:val="20"/>
                <w:szCs w:val="20"/>
                <w:color w:val="auto"/>
              </w:rPr>
            </w:pPr>
            <w:r>
              <w:rPr>
                <w:rFonts w:ascii="Arial" w:cs="Arial" w:eastAsia="Arial" w:hAnsi="Arial"/>
                <w:sz w:val="15"/>
                <w:szCs w:val="15"/>
                <w:color w:val="auto"/>
              </w:rPr>
              <w:t>9,218​​</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319​​ ​</w:t>
            </w:r>
          </w:p>
        </w:tc>
        <w:tc>
          <w:tcPr>
            <w:tcW w:w="34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600" w:type="dxa"/>
            <w:vAlign w:val="bottom"/>
          </w:tcPr>
          <w:p>
            <w:pPr>
              <w:jc w:val="right"/>
              <w:spacing w:after="0"/>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168"/>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ind w:left="20"/>
              <w:spacing w:after="0" w:line="168"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jc w:val="right"/>
              <w:ind w:right="104"/>
              <w:spacing w:after="0" w:line="168"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ind w:left="20"/>
              <w:spacing w:after="0" w:line="168" w:lineRule="exact"/>
              <w:rPr>
                <w:sz w:val="20"/>
                <w:szCs w:val="20"/>
                <w:color w:val="auto"/>
              </w:rPr>
            </w:pPr>
            <w:r>
              <w:rPr>
                <w:rFonts w:ascii="Arial" w:cs="Arial" w:eastAsia="Arial" w:hAnsi="Arial"/>
                <w:sz w:val="15"/>
                <w:szCs w:val="15"/>
                <w:color w:val="auto"/>
              </w:rPr>
              <w:t>​</w:t>
            </w:r>
          </w:p>
        </w:tc>
        <w:tc>
          <w:tcPr>
            <w:tcW w:w="2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ind w:left="40"/>
              <w:spacing w:after="0" w:line="168"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8" w:lineRule="exact"/>
              <w:rPr>
                <w:sz w:val="20"/>
                <w:szCs w:val="20"/>
                <w:color w:val="auto"/>
              </w:rPr>
            </w:pPr>
            <w:r>
              <w:rPr>
                <w:rFonts w:ascii="Arial" w:cs="Arial" w:eastAsia="Arial" w:hAnsi="Arial"/>
                <w:sz w:val="15"/>
                <w:szCs w:val="15"/>
                <w:color w:val="auto"/>
              </w:rPr>
              <w:t>(3,069)</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line="168"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8" w:lineRule="exact"/>
              <w:rPr>
                <w:sz w:val="20"/>
                <w:szCs w:val="20"/>
                <w:color w:val="auto"/>
              </w:rPr>
            </w:pPr>
            <w:r>
              <w:rPr>
                <w:rFonts w:ascii="Arial" w:cs="Arial" w:eastAsia="Arial" w:hAnsi="Arial"/>
                <w:sz w:val="15"/>
                <w:szCs w:val="15"/>
                <w:color w:val="auto"/>
              </w:rPr>
              <w:t>(3,069)</w:t>
            </w:r>
          </w:p>
        </w:tc>
        <w:tc>
          <w:tcPr>
            <w:tcW w:w="0" w:type="dxa"/>
            <w:vAlign w:val="bottom"/>
          </w:tcPr>
          <w:p>
            <w:pPr>
              <w:spacing w:after="0"/>
              <w:rPr>
                <w:sz w:val="1"/>
                <w:szCs w:val="1"/>
                <w:color w:val="auto"/>
              </w:rPr>
            </w:pPr>
          </w:p>
        </w:tc>
      </w:tr>
      <w:tr>
        <w:trPr>
          <w:trHeight w:val="68"/>
        </w:trPr>
        <w:tc>
          <w:tcPr>
            <w:tcW w:w="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2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$294,189</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$309,567</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$6,052</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$(154,104)</w:t>
            </w:r>
          </w:p>
        </w:tc>
        <w:tc>
          <w:tcPr>
            <w:tcW w:w="24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ind w:right="56"/>
              <w:spacing w:after="0"/>
              <w:rPr>
                <w:sz w:val="20"/>
                <w:szCs w:val="20"/>
                <w:color w:val="auto"/>
              </w:rPr>
            </w:pPr>
            <w:r>
              <w:rPr>
                <w:rFonts w:ascii="Arial" w:cs="Arial" w:eastAsia="Arial" w:hAnsi="Arial"/>
                <w:sz w:val="15"/>
                <w:szCs w:val="15"/>
                <w:color w:val="auto"/>
              </w:rPr>
              <w:t>$455,704</w:t>
            </w:r>
          </w:p>
        </w:tc>
        <w:tc>
          <w:tcPr>
            <w:tcW w:w="0" w:type="dxa"/>
            <w:vAlign w:val="bottom"/>
          </w:tcPr>
          <w:p>
            <w:pPr>
              <w:spacing w:after="0"/>
              <w:rPr>
                <w:sz w:val="1"/>
                <w:szCs w:val="1"/>
                <w:color w:val="auto"/>
              </w:rPr>
            </w:pPr>
          </w:p>
        </w:tc>
      </w:tr>
      <w:tr>
        <w:trPr>
          <w:trHeight w:val="91"/>
        </w:trPr>
        <w:tc>
          <w:tcPr>
            <w:tcW w:w="220" w:type="dxa"/>
            <w:vAlign w:val="bottom"/>
            <w:gridSpan w:val="2"/>
          </w:tcPr>
          <w:p>
            <w:pPr>
              <w:spacing w:after="0" w:line="91"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 ​​</w:t>
            </w: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ind w:left="40"/>
              <w:spacing w:after="0" w:line="91"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tcPr>
          <w:p>
            <w:pPr>
              <w:ind w:left="20"/>
              <w:spacing w:after="0" w:line="91"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7"/>
                <w:szCs w:val="7"/>
                <w:color w:val="auto"/>
              </w:rPr>
            </w:pPr>
          </w:p>
        </w:tc>
        <w:tc>
          <w:tcPr>
            <w:tcW w:w="240" w:type="dxa"/>
            <w:vAlign w:val="bottom"/>
          </w:tcPr>
          <w:p>
            <w:pPr>
              <w:ind w:left="160"/>
              <w:spacing w:after="0" w:line="9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980" w:type="dxa"/>
            <w:vAlign w:val="bottom"/>
            <w:gridSpan w:val="3"/>
          </w:tcPr>
          <w:p>
            <w:pPr>
              <w:jc w:val="right"/>
              <w:ind w:right="104"/>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60" w:type="dxa"/>
            <w:vAlign w:val="bottom"/>
            <w:gridSpan w:val="2"/>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380" w:type="dxa"/>
            <w:vAlign w:val="bottom"/>
            <w:gridSpan w:val="3"/>
          </w:tcPr>
          <w:p>
            <w:pPr>
              <w:ind w:left="20"/>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380" w:type="dxa"/>
            <w:vAlign w:val="bottom"/>
            <w:gridSpan w:val="2"/>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300" w:type="dxa"/>
            <w:vAlign w:val="bottom"/>
            <w:gridSpan w:val="2"/>
          </w:tcPr>
          <w:p>
            <w:pPr>
              <w:ind w:left="20"/>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880" w:type="dxa"/>
            <w:vAlign w:val="bottom"/>
            <w:gridSpan w:val="2"/>
          </w:tcPr>
          <w:p>
            <w:pPr>
              <w:jc w:val="right"/>
              <w:ind w:right="84"/>
              <w:spacing w:after="0" w:line="220" w:lineRule="exact"/>
              <w:rPr>
                <w:sz w:val="20"/>
                <w:szCs w:val="20"/>
                <w:color w:val="auto"/>
              </w:rPr>
            </w:pPr>
            <w:r>
              <w:rPr>
                <w:rFonts w:ascii="Arial" w:cs="Arial" w:eastAsia="Arial" w:hAnsi="Arial"/>
                <w:sz w:val="13"/>
                <w:szCs w:val="13"/>
                <w:color w:val="auto"/>
              </w:rPr>
              <w:t>17,900</w:t>
            </w:r>
            <w:r>
              <w:rPr>
                <w:rFonts w:ascii="Arial" w:cs="Arial" w:eastAsia="Arial" w:hAnsi="Arial"/>
                <w:sz w:val="25"/>
                <w:szCs w:val="25"/>
                <w:color w:val="auto"/>
                <w:vertAlign w:val="subscript"/>
              </w:rPr>
              <w:t>​​ ​</w:t>
            </w:r>
          </w:p>
        </w:tc>
        <w:tc>
          <w:tcPr>
            <w:tcW w:w="940" w:type="dxa"/>
            <w:vAlign w:val="bottom"/>
            <w:gridSpan w:val="3"/>
          </w:tcPr>
          <w:p>
            <w:pPr>
              <w:jc w:val="right"/>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 17,900</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$294,189</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$309,567</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$6,052</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$(136,204)</w:t>
            </w:r>
          </w:p>
        </w:tc>
        <w:tc>
          <w:tcPr>
            <w:tcW w:w="24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ind w:right="56"/>
              <w:spacing w:after="0"/>
              <w:rPr>
                <w:sz w:val="20"/>
                <w:szCs w:val="20"/>
                <w:color w:val="auto"/>
              </w:rPr>
            </w:pPr>
            <w:r>
              <w:rPr>
                <w:rFonts w:ascii="Arial" w:cs="Arial" w:eastAsia="Arial" w:hAnsi="Arial"/>
                <w:sz w:val="15"/>
                <w:szCs w:val="15"/>
                <w:color w:val="auto"/>
              </w:rPr>
              <w:t>$473,604</w:t>
            </w:r>
          </w:p>
        </w:tc>
        <w:tc>
          <w:tcPr>
            <w:tcW w:w="0" w:type="dxa"/>
            <w:vAlign w:val="bottom"/>
          </w:tcPr>
          <w:p>
            <w:pPr>
              <w:spacing w:after="0"/>
              <w:rPr>
                <w:sz w:val="1"/>
                <w:szCs w:val="1"/>
                <w:color w:val="auto"/>
              </w:rPr>
            </w:pPr>
          </w:p>
        </w:tc>
      </w:tr>
      <w:tr>
        <w:trPr>
          <w:trHeight w:val="167"/>
        </w:trPr>
        <w:tc>
          <w:tcPr>
            <w:tcW w:w="220" w:type="dxa"/>
            <w:vAlign w:val="bottom"/>
            <w:gridSpan w:val="2"/>
          </w:tcPr>
          <w:p>
            <w:pPr>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 ​​</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ind w:left="40"/>
              <w:spacing w:after="0" w:line="16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ind w:left="20"/>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6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240" w:type="dxa"/>
            <w:vAlign w:val="bottom"/>
            <w:vMerge w:val="continue"/>
          </w:tcPr>
          <w:p>
            <w:pPr>
              <w:spacing w:after="0"/>
              <w:rPr>
                <w:sz w:val="14"/>
                <w:szCs w:val="14"/>
                <w:color w:val="auto"/>
              </w:rPr>
            </w:pPr>
          </w:p>
        </w:tc>
        <w:tc>
          <w:tcPr>
            <w:tcW w:w="240" w:type="dxa"/>
            <w:vAlign w:val="bottom"/>
          </w:tcPr>
          <w:p>
            <w:pPr>
              <w:ind w:left="160"/>
              <w:spacing w:after="0" w:line="16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-1845310</wp:posOffset>
            </wp:positionV>
            <wp:extent cx="5837555"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-1536700</wp:posOffset>
            </wp:positionV>
            <wp:extent cx="583755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-1210945</wp:posOffset>
            </wp:positionV>
            <wp:extent cx="5837555"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-885190</wp:posOffset>
            </wp:positionV>
            <wp:extent cx="583755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-233680</wp:posOffset>
            </wp:positionV>
            <wp:extent cx="583755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-568325</wp:posOffset>
            </wp:positionV>
            <wp:extent cx="5837555"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-2171065</wp:posOffset>
            </wp:positionV>
            <wp:extent cx="5837555"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60" w:space="440"/>
            <w:col w:w="4660"/>
          </w:cols>
          <w:pgMar w:left="580" w:top="97" w:right="1359" w:bottom="1440" w:gutter="0" w:footer="0" w:header="0"/>
          <w:type w:val="continuous"/>
        </w:sectPr>
      </w:pPr>
    </w:p>
    <w:p>
      <w:pPr>
        <w:ind w:left="1120" w:hanging="358"/>
        <w:spacing w:after="0"/>
        <w:tabs>
          <w:tab w:leader="none" w:pos="11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Special items are reported as Other Gains and Charges in the Company’s Consolidated Statements of Operations.</w:t>
      </w:r>
    </w:p>
    <w:p>
      <w:pPr>
        <w:spacing w:after="0" w:line="14" w:lineRule="exact"/>
        <w:rPr>
          <w:rFonts w:ascii="Arial" w:cs="Arial" w:eastAsia="Arial" w:hAnsi="Arial"/>
          <w:sz w:val="14"/>
          <w:szCs w:val="14"/>
          <w:i w:val="1"/>
          <w:iCs w:val="1"/>
          <w:color w:val="auto"/>
        </w:rPr>
      </w:pPr>
    </w:p>
    <w:p>
      <w:pPr>
        <w:ind w:left="1120" w:right="20" w:hanging="358"/>
        <w:spacing w:after="0" w:line="271" w:lineRule="auto"/>
        <w:tabs>
          <w:tab w:leader="none" w:pos="11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stock compensation expense related to common stock issued to Acima Holdings employees under restricted stock agreements as part of the Acima acquisition proceeds subject to vesting restrictions.</w:t>
      </w:r>
    </w:p>
    <w:p>
      <w:pPr>
        <w:ind w:left="1120" w:right="20" w:hanging="358"/>
        <w:spacing w:after="0" w:line="262" w:lineRule="auto"/>
        <w:tabs>
          <w:tab w:leader="none" w:pos="11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of approximately $57.0 million related to the total fair value of acquired intangible assets and incremental depreciation of approximately $15.9 million.</w:t>
      </w:r>
    </w:p>
    <w:p>
      <w:pPr>
        <w:jc w:val="both"/>
        <w:ind w:left="1120" w:hanging="358"/>
        <w:spacing w:after="0" w:line="268" w:lineRule="auto"/>
        <w:tabs>
          <w:tab w:leader="none" w:pos="11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 incremental depreciation expense related to the acceleration of the remaining useful life of the point-of-sale system used by our Rent-A-Center lease-to-own stores, due to the transition to a new internally developed point-of-sale system that was deployed in the third quarter of 2024.</w:t>
      </w:r>
    </w:p>
    <w:p>
      <w:pPr>
        <w:ind w:left="1120" w:hanging="358"/>
        <w:spacing w:after="0"/>
        <w:tabs>
          <w:tab w:leader="none" w:pos="11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interest income on tax refunds for prior years received in 2023.</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in our fourth quarter earnings press release furnished on February 22, 2024 on our Current Report on Form 8-K.</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As defined above and included in the above Pay Versus Performance tables and 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A-6</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4340"/>
        <w:spacing w:after="0" w:line="296" w:lineRule="auto"/>
        <w:rPr>
          <w:sz w:val="20"/>
          <w:szCs w:val="20"/>
          <w:color w:val="auto"/>
        </w:rPr>
      </w:pPr>
      <w:r>
        <w:rPr>
          <w:rFonts w:ascii="Arial" w:cs="Arial" w:eastAsia="Arial" w:hAnsi="Arial"/>
          <w:sz w:val="16"/>
          <w:szCs w:val="16"/>
          <w:b w:val="1"/>
          <w:bCs w:val="1"/>
          <w:color w:val="auto"/>
        </w:rPr>
        <w:t>ANNEX A: RECONCILIATION OF GAAP MEASURES TO NON-GAAP MEASURES​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72390</wp:posOffset>
            </wp:positionV>
            <wp:extent cx="51435" cy="4629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462915"/>
                    </a:xfrm>
                    <a:prstGeom prst="rect">
                      <a:avLst/>
                    </a:prstGeom>
                    <a:noFill/>
                  </pic:spPr>
                </pic:pic>
              </a:graphicData>
            </a:graphic>
          </wp:anchor>
        </w:drawing>
      </w:r>
    </w:p>
    <w:p>
      <w:pPr>
        <w:spacing w:after="0" w:line="128"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920" w:type="dxa"/>
            <w:vAlign w:val="bottom"/>
          </w:tcPr>
          <w:p>
            <w:pPr>
              <w:jc w:val="center"/>
              <w:ind w:right="2736"/>
              <w:spacing w:after="0"/>
              <w:rPr>
                <w:sz w:val="20"/>
                <w:szCs w:val="20"/>
                <w:color w:val="auto"/>
              </w:rPr>
            </w:pPr>
            <w:r>
              <w:rPr>
                <w:rFonts w:ascii="Arial" w:cs="Arial" w:eastAsia="Arial" w:hAnsi="Arial"/>
                <w:sz w:val="15"/>
                <w:szCs w:val="15"/>
                <w:b w:val="1"/>
                <w:bCs w:val="1"/>
                <w:color w:val="auto"/>
              </w:rPr>
              <w:t>​ ​</w:t>
            </w:r>
          </w:p>
        </w:tc>
        <w:tc>
          <w:tcPr>
            <w:tcW w:w="2420" w:type="dxa"/>
            <w:vAlign w:val="bottom"/>
            <w:gridSpan w:val="2"/>
          </w:tcPr>
          <w:p>
            <w:pPr>
              <w:ind w:left="1560"/>
              <w:spacing w:after="0"/>
              <w:rPr>
                <w:sz w:val="20"/>
                <w:szCs w:val="20"/>
                <w:color w:val="auto"/>
              </w:rPr>
            </w:pPr>
            <w:r>
              <w:rPr>
                <w:rFonts w:ascii="Arial" w:cs="Arial" w:eastAsia="Arial" w:hAnsi="Arial"/>
                <w:sz w:val="15"/>
                <w:szCs w:val="15"/>
                <w:b w:val="1"/>
                <w:bCs w:val="1"/>
                <w:color w:val="auto"/>
              </w:rPr>
              <w:t>​ ​</w:t>
            </w:r>
          </w:p>
        </w:tc>
        <w:tc>
          <w:tcPr>
            <w:tcW w:w="80" w:type="dxa"/>
            <w:vAlign w:val="bottom"/>
          </w:tcPr>
          <w:p>
            <w:pPr>
              <w:spacing w:after="0"/>
              <w:rPr>
                <w:sz w:val="19"/>
                <w:szCs w:val="19"/>
                <w:color w:val="auto"/>
              </w:rPr>
            </w:pPr>
          </w:p>
        </w:tc>
        <w:tc>
          <w:tcPr>
            <w:tcW w:w="2840" w:type="dxa"/>
            <w:vAlign w:val="bottom"/>
            <w:gridSpan w:val="4"/>
          </w:tcPr>
          <w:p>
            <w:pPr>
              <w:jc w:val="right"/>
              <w:ind w:right="233"/>
              <w:spacing w:after="0"/>
              <w:rPr>
                <w:sz w:val="20"/>
                <w:szCs w:val="20"/>
                <w:color w:val="auto"/>
              </w:rPr>
            </w:pPr>
            <w:r>
              <w:rPr>
                <w:rFonts w:ascii="Arial" w:cs="Arial" w:eastAsia="Arial" w:hAnsi="Arial"/>
                <w:sz w:val="15"/>
                <w:szCs w:val="15"/>
                <w:b w:val="1"/>
                <w:bCs w:val="1"/>
                <w:color w:val="auto"/>
              </w:rPr>
              <w:t>Year Ended December 31, 2022</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17"/>
        </w:trPr>
        <w:tc>
          <w:tcPr>
            <w:tcW w:w="2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ind w:left="44"/>
              <w:spacing w:after="0"/>
              <w:rPr>
                <w:sz w:val="20"/>
                <w:szCs w:val="20"/>
                <w:color w:val="auto"/>
              </w:rPr>
            </w:pPr>
            <w:r>
              <w:rPr>
                <w:rFonts w:ascii="Arial" w:cs="Arial" w:eastAsia="Arial" w:hAnsi="Arial"/>
                <w:sz w:val="15"/>
                <w:szCs w:val="15"/>
                <w:b w:val="1"/>
                <w:bCs w:val="1"/>
                <w:color w:val="auto"/>
              </w:rPr>
              <w:t>Rent-A-</w:t>
            </w:r>
          </w:p>
        </w:tc>
        <w:tc>
          <w:tcPr>
            <w:tcW w:w="7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920" w:type="dxa"/>
            <w:vAlign w:val="bottom"/>
          </w:tcPr>
          <w:p>
            <w:pPr>
              <w:ind w:left="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 thousands)</w:t>
            </w:r>
          </w:p>
        </w:tc>
        <w:tc>
          <w:tcPr>
            <w:tcW w:w="2420" w:type="dxa"/>
            <w:vAlign w:val="bottom"/>
            <w:gridSpan w:val="2"/>
          </w:tcPr>
          <w:p>
            <w:pPr>
              <w:ind w:left="1620"/>
              <w:spacing w:after="0"/>
              <w:rPr>
                <w:sz w:val="20"/>
                <w:szCs w:val="20"/>
                <w:color w:val="auto"/>
              </w:rPr>
            </w:pPr>
            <w:r>
              <w:rPr>
                <w:rFonts w:ascii="Arial" w:cs="Arial" w:eastAsia="Arial" w:hAnsi="Arial"/>
                <w:sz w:val="15"/>
                <w:szCs w:val="15"/>
                <w:b w:val="1"/>
                <w:bCs w:val="1"/>
                <w:color w:val="auto"/>
              </w:rPr>
              <w:t>​ ​ Acima</w:t>
            </w: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 ​ Center</w:t>
            </w:r>
          </w:p>
        </w:tc>
        <w:tc>
          <w:tcPr>
            <w:tcW w:w="3020" w:type="dxa"/>
            <w:vAlign w:val="bottom"/>
            <w:gridSpan w:val="6"/>
          </w:tcPr>
          <w:p>
            <w:pPr>
              <w:jc w:val="right"/>
              <w:spacing w:after="0"/>
              <w:rPr>
                <w:sz w:val="20"/>
                <w:szCs w:val="20"/>
                <w:color w:val="auto"/>
              </w:rPr>
            </w:pPr>
            <w:r>
              <w:rPr>
                <w:rFonts w:ascii="Arial" w:cs="Arial" w:eastAsia="Arial" w:hAnsi="Arial"/>
                <w:sz w:val="15"/>
                <w:szCs w:val="15"/>
                <w:b w:val="1"/>
                <w:bCs w:val="1"/>
                <w:color w:val="auto"/>
              </w:rPr>
              <w:t>​ ​ Mexico ​ ​Corporate ​ ​Consolidated ​</w:t>
            </w:r>
          </w:p>
        </w:tc>
      </w:tr>
      <w:tr>
        <w:trPr>
          <w:trHeight w:val="183"/>
        </w:trPr>
        <w:tc>
          <w:tcPr>
            <w:tcW w:w="2920" w:type="dxa"/>
            <w:vAlign w:val="bottom"/>
            <w:tcBorders>
              <w:top w:val="single" w:sz="8" w:color="E5E5E5"/>
            </w:tcBorders>
            <w:shd w:val="clear" w:color="auto" w:fill="E5E5E5"/>
          </w:tcPr>
          <w:p>
            <w:pPr>
              <w:ind w:left="80"/>
              <w:spacing w:after="0"/>
              <w:rPr>
                <w:sz w:val="20"/>
                <w:szCs w:val="20"/>
                <w:color w:val="auto"/>
              </w:rPr>
            </w:pPr>
            <w:r>
              <w:rPr>
                <w:rFonts w:ascii="Arial" w:cs="Arial" w:eastAsia="Arial" w:hAnsi="Arial"/>
                <w:sz w:val="15"/>
                <w:szCs w:val="15"/>
                <w:color w:val="auto"/>
              </w:rPr>
              <w:t>Net earnings (loss)</w:t>
            </w:r>
          </w:p>
        </w:tc>
        <w:tc>
          <w:tcPr>
            <w:tcW w:w="1760" w:type="dxa"/>
            <w:vAlign w:val="bottom"/>
            <w:tcBorders>
              <w:top w:val="single" w:sz="8" w:color="E5E5E5"/>
            </w:tcBorders>
            <w:shd w:val="clear" w:color="auto" w:fill="E5E5E5"/>
          </w:tcPr>
          <w:p>
            <w:pPr>
              <w:spacing w:after="0"/>
              <w:rPr>
                <w:sz w:val="15"/>
                <w:szCs w:val="15"/>
                <w:color w:val="auto"/>
              </w:rPr>
            </w:pP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$151,301</w:t>
            </w:r>
          </w:p>
        </w:tc>
        <w:tc>
          <w:tcPr>
            <w:tcW w:w="80" w:type="dxa"/>
            <w:vAlign w:val="bottom"/>
            <w:tcBorders>
              <w:top w:val="single" w:sz="8" w:color="E5E5E5"/>
            </w:tcBorders>
            <w:shd w:val="clear" w:color="auto" w:fill="E5E5E5"/>
          </w:tcPr>
          <w:p>
            <w:pPr>
              <w:spacing w:after="0"/>
              <w:rPr>
                <w:sz w:val="15"/>
                <w:szCs w:val="15"/>
                <w:color w:val="auto"/>
              </w:rPr>
            </w:pP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$353,649</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$6,267</w:t>
            </w:r>
          </w:p>
        </w:tc>
        <w:tc>
          <w:tcPr>
            <w:tcW w:w="1320" w:type="dxa"/>
            <w:vAlign w:val="bottom"/>
            <w:tcBorders>
              <w:top w:val="single" w:sz="8" w:color="auto"/>
            </w:tcBorders>
            <w:gridSpan w:val="2"/>
            <w:shd w:val="clear" w:color="auto" w:fill="E5E5E5"/>
          </w:tcPr>
          <w:p>
            <w:pPr>
              <w:jc w:val="right"/>
              <w:ind w:right="273"/>
              <w:spacing w:after="0"/>
              <w:rPr>
                <w:sz w:val="20"/>
                <w:szCs w:val="20"/>
                <w:color w:val="auto"/>
              </w:rPr>
            </w:pPr>
            <w:r>
              <w:rPr>
                <w:rFonts w:ascii="Arial" w:cs="Arial" w:eastAsia="Arial" w:hAnsi="Arial"/>
                <w:sz w:val="15"/>
                <w:szCs w:val="15"/>
                <w:color w:val="auto"/>
              </w:rPr>
              <w:t>$(498,860)</w:t>
            </w:r>
          </w:p>
        </w:tc>
        <w:tc>
          <w:tcPr>
            <w:tcW w:w="3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gridSpan w:val="2"/>
            <w:shd w:val="clear" w:color="auto" w:fill="E5E5E5"/>
          </w:tcPr>
          <w:p>
            <w:pPr>
              <w:jc w:val="right"/>
              <w:ind w:right="68"/>
              <w:spacing w:after="0"/>
              <w:rPr>
                <w:sz w:val="20"/>
                <w:szCs w:val="20"/>
                <w:color w:val="auto"/>
              </w:rPr>
            </w:pPr>
            <w:r>
              <w:rPr>
                <w:rFonts w:ascii="Arial" w:cs="Arial" w:eastAsia="Arial" w:hAnsi="Arial"/>
                <w:sz w:val="15"/>
                <w:szCs w:val="15"/>
                <w:color w:val="auto"/>
              </w:rPr>
              <w:t>12,357</w:t>
            </w:r>
          </w:p>
        </w:tc>
      </w:tr>
      <w:tr>
        <w:trPr>
          <w:trHeight w:val="54"/>
        </w:trPr>
        <w:tc>
          <w:tcPr>
            <w:tcW w:w="2920" w:type="dxa"/>
            <w:vAlign w:val="bottom"/>
            <w:shd w:val="clear" w:color="auto" w:fill="E5E5E5"/>
          </w:tcPr>
          <w:p>
            <w:pPr>
              <w:jc w:val="center"/>
              <w:ind w:right="2736"/>
              <w:spacing w:after="0" w:line="54" w:lineRule="exact"/>
              <w:rPr>
                <w:sz w:val="20"/>
                <w:szCs w:val="20"/>
                <w:color w:val="auto"/>
              </w:rPr>
            </w:pPr>
            <w:r>
              <w:rPr>
                <w:rFonts w:ascii="Arial" w:cs="Arial" w:eastAsia="Arial" w:hAnsi="Arial"/>
                <w:sz w:val="5"/>
                <w:szCs w:val="5"/>
                <w:color w:val="auto"/>
              </w:rPr>
              <w:t>​</w:t>
            </w:r>
          </w:p>
        </w:tc>
        <w:tc>
          <w:tcPr>
            <w:tcW w:w="2420" w:type="dxa"/>
            <w:vAlign w:val="bottom"/>
            <w:gridSpan w:val="2"/>
            <w:shd w:val="clear" w:color="auto" w:fill="E5E5E5"/>
          </w:tcPr>
          <w:p>
            <w:pPr>
              <w:ind w:left="1620"/>
              <w:spacing w:after="0" w:line="54" w:lineRule="exact"/>
              <w:rPr>
                <w:sz w:val="20"/>
                <w:szCs w:val="20"/>
                <w:color w:val="auto"/>
              </w:rPr>
            </w:pPr>
            <w:r>
              <w:rPr>
                <w:rFonts w:ascii="Arial" w:cs="Arial" w:eastAsia="Arial" w:hAnsi="Arial"/>
                <w:sz w:val="5"/>
                <w:szCs w:val="5"/>
                <w:color w:val="auto"/>
              </w:rPr>
              <w:t>​ ​​</w:t>
            </w:r>
          </w:p>
        </w:tc>
        <w:tc>
          <w:tcPr>
            <w:tcW w:w="840" w:type="dxa"/>
            <w:vAlign w:val="bottom"/>
            <w:gridSpan w:val="2"/>
            <w:shd w:val="clear" w:color="auto" w:fill="E5E5E5"/>
          </w:tcPr>
          <w:p>
            <w:pPr>
              <w:spacing w:after="0" w:line="54" w:lineRule="exact"/>
              <w:rPr>
                <w:sz w:val="20"/>
                <w:szCs w:val="20"/>
                <w:color w:val="auto"/>
              </w:rPr>
            </w:pPr>
            <w:r>
              <w:rPr>
                <w:rFonts w:ascii="Arial" w:cs="Arial" w:eastAsia="Arial" w:hAnsi="Arial"/>
                <w:sz w:val="5"/>
                <w:szCs w:val="5"/>
                <w:color w:val="auto"/>
              </w:rPr>
              <w:t>​​ ​​</w:t>
            </w:r>
          </w:p>
        </w:tc>
        <w:tc>
          <w:tcPr>
            <w:tcW w:w="760" w:type="dxa"/>
            <w:vAlign w:val="bottom"/>
            <w:shd w:val="clear" w:color="auto" w:fill="E5E5E5"/>
          </w:tcPr>
          <w:p>
            <w:pPr>
              <w:jc w:val="right"/>
              <w:ind w:right="380"/>
              <w:spacing w:after="0" w:line="54" w:lineRule="exact"/>
              <w:rPr>
                <w:sz w:val="20"/>
                <w:szCs w:val="20"/>
                <w:color w:val="auto"/>
              </w:rPr>
            </w:pPr>
            <w:r>
              <w:rPr>
                <w:rFonts w:ascii="Arial" w:cs="Arial" w:eastAsia="Arial" w:hAnsi="Arial"/>
                <w:sz w:val="5"/>
                <w:szCs w:val="5"/>
                <w:color w:val="auto"/>
              </w:rPr>
              <w:t>​​ ​ ​</w:t>
            </w:r>
          </w:p>
        </w:tc>
        <w:tc>
          <w:tcPr>
            <w:tcW w:w="6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 ​</w:t>
            </w:r>
          </w:p>
        </w:tc>
        <w:tc>
          <w:tcPr>
            <w:tcW w:w="700" w:type="dxa"/>
            <w:vAlign w:val="bottom"/>
            <w:shd w:val="clear" w:color="auto" w:fill="E5E5E5"/>
          </w:tcPr>
          <w:p>
            <w:pPr>
              <w:jc w:val="right"/>
              <w:ind w:right="133"/>
              <w:spacing w:after="0" w:line="54" w:lineRule="exact"/>
              <w:rPr>
                <w:sz w:val="20"/>
                <w:szCs w:val="20"/>
                <w:color w:val="auto"/>
              </w:rPr>
            </w:pPr>
            <w:r>
              <w:rPr>
                <w:rFonts w:ascii="Arial" w:cs="Arial" w:eastAsia="Arial" w:hAnsi="Arial"/>
                <w:sz w:val="5"/>
                <w:szCs w:val="5"/>
                <w:color w:val="auto"/>
              </w:rPr>
              <w:t>​​ ​</w:t>
            </w:r>
          </w:p>
        </w:tc>
        <w:tc>
          <w:tcPr>
            <w:tcW w:w="320" w:type="dxa"/>
            <w:vAlign w:val="bottom"/>
            <w:shd w:val="clear" w:color="auto" w:fill="E5E5E5"/>
          </w:tcPr>
          <w:p>
            <w:pPr>
              <w:ind w:left="160"/>
              <w:spacing w:after="0" w:line="54" w:lineRule="exact"/>
              <w:rPr>
                <w:sz w:val="20"/>
                <w:szCs w:val="20"/>
                <w:color w:val="auto"/>
              </w:rPr>
            </w:pPr>
            <w:r>
              <w:rPr>
                <w:rFonts w:ascii="Arial" w:cs="Arial" w:eastAsia="Arial" w:hAnsi="Arial"/>
                <w:sz w:val="5"/>
                <w:szCs w:val="5"/>
                <w:color w:val="auto"/>
              </w:rPr>
              <w:t>​</w:t>
            </w:r>
          </w:p>
        </w:tc>
        <w:tc>
          <w:tcPr>
            <w:tcW w:w="500" w:type="dxa"/>
            <w:vAlign w:val="bottom"/>
            <w:shd w:val="clear" w:color="auto" w:fill="E5E5E5"/>
          </w:tcPr>
          <w:p>
            <w:pPr>
              <w:spacing w:after="0"/>
              <w:rPr>
                <w:sz w:val="4"/>
                <w:szCs w:val="4"/>
                <w:color w:val="auto"/>
              </w:rPr>
            </w:pPr>
          </w:p>
        </w:tc>
        <w:tc>
          <w:tcPr>
            <w:tcW w:w="1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-453390</wp:posOffset>
            </wp:positionV>
            <wp:extent cx="3394710" cy="3003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94710" cy="3003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37" w:lineRule="exact"/>
        <w:rPr>
          <w:sz w:val="20"/>
          <w:szCs w:val="20"/>
          <w:color w:val="auto"/>
        </w:rPr>
      </w:pPr>
    </w:p>
    <w:p>
      <w:pPr>
        <w:ind w:left="1000" w:hanging="197"/>
        <w:spacing w:after="0"/>
        <w:tabs>
          <w:tab w:leader="none" w:pos="10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Plus: Interest, net</w:t>
      </w:r>
    </w:p>
    <w:p>
      <w:pPr>
        <w:spacing w:after="0" w:line="54" w:lineRule="exact"/>
        <w:rPr>
          <w:rFonts w:ascii="Arial" w:cs="Arial" w:eastAsia="Arial" w:hAnsi="Arial"/>
          <w:sz w:val="15"/>
          <w:szCs w:val="15"/>
          <w:color w:val="auto"/>
        </w:rPr>
      </w:pPr>
    </w:p>
    <w:p>
      <w:pPr>
        <w:ind w:left="1000" w:hanging="197"/>
        <w:spacing w:after="0" w:line="180" w:lineRule="auto"/>
        <w:tabs>
          <w:tab w:leader="none" w:pos="1000" w:val="left"/>
        </w:tabs>
        <w:numPr>
          <w:ilvl w:val="0"/>
          <w:numId w:val="108"/>
        </w:numPr>
        <w:rPr>
          <w:rFonts w:ascii="Arial" w:cs="Arial" w:eastAsia="Arial" w:hAnsi="Arial"/>
          <w:sz w:val="25"/>
          <w:szCs w:val="25"/>
          <w:color w:val="auto"/>
          <w:vertAlign w:val="subscript"/>
        </w:rPr>
      </w:pPr>
      <w:r>
        <w:rPr>
          <w:rFonts w:ascii="Arial" w:cs="Arial" w:eastAsia="Arial" w:hAnsi="Arial"/>
          <w:sz w:val="13"/>
          <w:szCs w:val="13"/>
          <w:color w:val="auto"/>
        </w:rPr>
        <w:t>Plus: Income tax expense</w:t>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​Operating profit (loss)</w:t>
      </w:r>
    </w:p>
    <w:p>
      <w:pPr>
        <w:spacing w:after="0" w:line="71" w:lineRule="exact"/>
        <w:rPr>
          <w:sz w:val="20"/>
          <w:szCs w:val="20"/>
          <w:color w:val="auto"/>
        </w:rPr>
      </w:pPr>
    </w:p>
    <w:p>
      <w:pPr>
        <w:ind w:left="1000" w:hanging="197"/>
        <w:spacing w:after="0"/>
        <w:tabs>
          <w:tab w:leader="none" w:pos="10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Plus: Amortization, Depreciation</w:t>
      </w:r>
    </w:p>
    <w:p>
      <w:pPr>
        <w:spacing w:after="0" w:line="70" w:lineRule="exact"/>
        <w:rPr>
          <w:rFonts w:ascii="Arial" w:cs="Arial" w:eastAsia="Arial" w:hAnsi="Arial"/>
          <w:sz w:val="15"/>
          <w:szCs w:val="15"/>
          <w:color w:val="auto"/>
        </w:rPr>
      </w:pPr>
    </w:p>
    <w:p>
      <w:pPr>
        <w:ind w:left="1000" w:hanging="197"/>
        <w:spacing w:after="0"/>
        <w:tabs>
          <w:tab w:leader="none" w:pos="10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Plus: Stock-based compensation</w:t>
      </w:r>
    </w:p>
    <w:p>
      <w:pPr>
        <w:spacing w:after="0" w:line="54" w:lineRule="exact"/>
        <w:rPr>
          <w:rFonts w:ascii="Arial" w:cs="Arial" w:eastAsia="Arial" w:hAnsi="Arial"/>
          <w:sz w:val="15"/>
          <w:szCs w:val="15"/>
          <w:color w:val="auto"/>
        </w:rPr>
      </w:pPr>
    </w:p>
    <w:p>
      <w:pPr>
        <w:ind w:left="1000" w:hanging="197"/>
        <w:spacing w:after="0" w:line="185" w:lineRule="auto"/>
        <w:tabs>
          <w:tab w:leader="none" w:pos="1000" w:val="left"/>
        </w:tabs>
        <w:numPr>
          <w:ilvl w:val="0"/>
          <w:numId w:val="109"/>
        </w:numPr>
        <w:rPr>
          <w:rFonts w:ascii="Arial" w:cs="Arial" w:eastAsia="Arial" w:hAnsi="Arial"/>
          <w:sz w:val="30"/>
          <w:szCs w:val="30"/>
          <w:color w:val="auto"/>
          <w:vertAlign w:val="subscript"/>
        </w:rPr>
      </w:pPr>
      <w:r>
        <w:rPr>
          <w:rFonts w:ascii="Arial" w:cs="Arial" w:eastAsia="Arial" w:hAnsi="Arial"/>
          <w:sz w:val="15"/>
          <w:szCs w:val="15"/>
          <w:color w:val="auto"/>
        </w:rPr>
        <w:t>Plus: Special Items</w:t>
      </w:r>
      <w:r>
        <w:rPr>
          <w:rFonts w:ascii="Arial" w:cs="Arial" w:eastAsia="Arial" w:hAnsi="Arial"/>
          <w:sz w:val="18"/>
          <w:szCs w:val="18"/>
          <w:color w:val="auto"/>
          <w:vertAlign w:val="superscript"/>
        </w:rPr>
        <w:t>(1)</w:t>
      </w:r>
    </w:p>
    <w:p>
      <w:pPr>
        <w:spacing w:after="0" w:line="6" w:lineRule="exact"/>
        <w:rPr>
          <w:rFonts w:ascii="Arial" w:cs="Arial" w:eastAsia="Arial" w:hAnsi="Arial"/>
          <w:sz w:val="30"/>
          <w:szCs w:val="30"/>
          <w:color w:val="auto"/>
          <w:vertAlign w:val="subscript"/>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Acima equity consideration vesting</w:t>
      </w:r>
    </w:p>
    <w:p>
      <w:pPr>
        <w:spacing w:after="0" w:line="54" w:lineRule="exact"/>
        <w:rPr>
          <w:rFonts w:ascii="Arial" w:cs="Arial" w:eastAsia="Arial" w:hAnsi="Arial"/>
          <w:sz w:val="15"/>
          <w:szCs w:val="15"/>
          <w:color w:val="auto"/>
        </w:rPr>
      </w:pPr>
    </w:p>
    <w:p>
      <w:pPr>
        <w:ind w:left="1140" w:hanging="337"/>
        <w:spacing w:after="0" w:line="185" w:lineRule="auto"/>
        <w:tabs>
          <w:tab w:leader="none" w:pos="1140" w:val="left"/>
        </w:tabs>
        <w:numPr>
          <w:ilvl w:val="0"/>
          <w:numId w:val="109"/>
        </w:numPr>
        <w:rPr>
          <w:rFonts w:ascii="Arial" w:cs="Arial" w:eastAsia="Arial" w:hAnsi="Arial"/>
          <w:sz w:val="30"/>
          <w:szCs w:val="30"/>
          <w:color w:val="auto"/>
          <w:vertAlign w:val="subscript"/>
        </w:rPr>
      </w:pPr>
      <w:r>
        <w:rPr>
          <w:rFonts w:ascii="Arial" w:cs="Arial" w:eastAsia="Arial" w:hAnsi="Arial"/>
          <w:sz w:val="15"/>
          <w:szCs w:val="15"/>
          <w:color w:val="auto"/>
        </w:rPr>
        <w:t>Acima acquired assets depreciation and amortization</w:t>
      </w:r>
      <w:r>
        <w:rPr>
          <w:rFonts w:ascii="Arial" w:cs="Arial" w:eastAsia="Arial" w:hAnsi="Arial"/>
          <w:sz w:val="18"/>
          <w:szCs w:val="18"/>
          <w:color w:val="auto"/>
          <w:vertAlign w:val="superscript"/>
        </w:rPr>
        <w:t>(2)</w:t>
      </w:r>
    </w:p>
    <w:p>
      <w:pPr>
        <w:spacing w:after="0" w:line="6" w:lineRule="exact"/>
        <w:rPr>
          <w:rFonts w:ascii="Arial" w:cs="Arial" w:eastAsia="Arial" w:hAnsi="Arial"/>
          <w:sz w:val="30"/>
          <w:szCs w:val="30"/>
          <w:color w:val="auto"/>
          <w:vertAlign w:val="subscript"/>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IT Asset disposals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Cost savings initiatives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Store closure costs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Retail partner conversion losses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State tax audit assessment reserves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Hurricane impacts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Acima transaction costs</w:t>
      </w:r>
    </w:p>
    <w:p>
      <w:pPr>
        <w:spacing w:after="0" w:line="84" w:lineRule="exact"/>
        <w:rPr>
          <w:rFonts w:ascii="Arial" w:cs="Arial" w:eastAsia="Arial" w:hAnsi="Arial"/>
          <w:sz w:val="15"/>
          <w:szCs w:val="15"/>
          <w:color w:val="auto"/>
        </w:rPr>
      </w:pPr>
    </w:p>
    <w:p>
      <w:pPr>
        <w:ind w:left="1140" w:hanging="337"/>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Legal settlements</w:t>
      </w:r>
    </w:p>
    <w:p>
      <w:pPr>
        <w:spacing w:after="0" w:line="54" w:lineRule="exact"/>
        <w:rPr>
          <w:rFonts w:ascii="Arial" w:cs="Arial" w:eastAsia="Arial" w:hAnsi="Arial"/>
          <w:sz w:val="15"/>
          <w:szCs w:val="15"/>
          <w:color w:val="auto"/>
        </w:rPr>
      </w:pPr>
    </w:p>
    <w:p>
      <w:pPr>
        <w:ind w:left="1140" w:hanging="337"/>
        <w:spacing w:after="0" w:line="184" w:lineRule="auto"/>
        <w:tabs>
          <w:tab w:leader="none" w:pos="1140" w:val="left"/>
        </w:tabs>
        <w:numPr>
          <w:ilvl w:val="0"/>
          <w:numId w:val="109"/>
        </w:numPr>
        <w:rPr>
          <w:rFonts w:ascii="Arial" w:cs="Arial" w:eastAsia="Arial" w:hAnsi="Arial"/>
          <w:sz w:val="26"/>
          <w:szCs w:val="26"/>
          <w:color w:val="auto"/>
          <w:vertAlign w:val="subscript"/>
        </w:rPr>
      </w:pPr>
      <w:r>
        <w:rPr>
          <w:rFonts w:ascii="Arial" w:cs="Arial" w:eastAsia="Arial" w:hAnsi="Arial"/>
          <w:sz w:val="14"/>
          <w:szCs w:val="14"/>
          <w:color w:val="auto"/>
        </w:rPr>
        <w:t>Other</w:t>
      </w:r>
    </w:p>
    <w:p>
      <w:pPr>
        <w:ind w:left="800"/>
        <w:spacing w:after="0" w:line="232"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Adjusted EBITDA</w:t>
      </w:r>
      <w:r>
        <w:rPr>
          <w:rFonts w:ascii="Arial" w:cs="Arial" w:eastAsia="Arial" w:hAnsi="Arial"/>
          <w:sz w:val="19"/>
          <w:szCs w:val="19"/>
          <w:color w:val="auto"/>
          <w:vertAlign w:val="superscript"/>
        </w:rPr>
        <w:t>(3)</w:t>
      </w:r>
    </w:p>
    <w:p>
      <w:pPr>
        <w:ind w:left="800"/>
        <w:spacing w:after="0" w:line="181"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Plus: Annual cash incentive</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87,067​​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87,067​​</w:t>
            </w:r>
          </w:p>
        </w:tc>
        <w:tc>
          <w:tcPr>
            <w:tcW w:w="0" w:type="dxa"/>
            <w:vAlign w:val="bottom"/>
          </w:tcPr>
          <w:p>
            <w:pPr>
              <w:spacing w:after="0"/>
              <w:rPr>
                <w:sz w:val="1"/>
                <w:szCs w:val="1"/>
                <w:color w:val="auto"/>
              </w:rPr>
            </w:pPr>
          </w:p>
        </w:tc>
      </w:tr>
      <w:tr>
        <w:trPr>
          <w:trHeight w:val="235"/>
        </w:trPr>
        <w:tc>
          <w:tcPr>
            <w:tcW w:w="340" w:type="dxa"/>
            <w:vAlign w:val="bottom"/>
            <w:gridSpan w:val="3"/>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72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20" w:type="dxa"/>
            <w:vAlign w:val="bottom"/>
            <w:gridSpan w:val="3"/>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0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80" w:type="dxa"/>
            <w:vAlign w:val="bottom"/>
            <w:gridSpan w:val="2"/>
          </w:tcPr>
          <w:p>
            <w:pPr>
              <w:jc w:val="right"/>
              <w:ind w:right="84"/>
              <w:spacing w:after="0" w:line="236" w:lineRule="exact"/>
              <w:rPr>
                <w:sz w:val="20"/>
                <w:szCs w:val="20"/>
                <w:color w:val="auto"/>
              </w:rPr>
            </w:pPr>
            <w:r>
              <w:rPr>
                <w:rFonts w:ascii="Arial" w:cs="Arial" w:eastAsia="Arial" w:hAnsi="Arial"/>
                <w:sz w:val="14"/>
                <w:szCs w:val="14"/>
                <w:color w:val="auto"/>
              </w:rPr>
              <w:t>49,114</w:t>
            </w:r>
            <w:r>
              <w:rPr>
                <w:rFonts w:ascii="Arial" w:cs="Arial" w:eastAsia="Arial" w:hAnsi="Arial"/>
                <w:sz w:val="27"/>
                <w:szCs w:val="27"/>
                <w:color w:val="auto"/>
                <w:vertAlign w:val="subscript"/>
              </w:rPr>
              <w:t>​​ ​</w:t>
            </w:r>
          </w:p>
        </w:tc>
        <w:tc>
          <w:tcPr>
            <w:tcW w:w="94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 49,114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​151,301</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​353,649</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​6,267</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​(362,679)</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52"/>
              <w:spacing w:after="0"/>
              <w:rPr>
                <w:sz w:val="20"/>
                <w:szCs w:val="20"/>
                <w:color w:val="auto"/>
              </w:rPr>
            </w:pPr>
            <w:r>
              <w:rPr>
                <w:rFonts w:ascii="Arial" w:cs="Arial" w:eastAsia="Arial" w:hAnsi="Arial"/>
                <w:sz w:val="15"/>
                <w:szCs w:val="15"/>
                <w:color w:val="auto"/>
              </w:rPr>
              <w:t>​148,538</w:t>
            </w:r>
          </w:p>
        </w:tc>
        <w:tc>
          <w:tcPr>
            <w:tcW w:w="0" w:type="dxa"/>
            <w:vAlign w:val="bottom"/>
          </w:tcPr>
          <w:p>
            <w:pPr>
              <w:spacing w:after="0"/>
              <w:rPr>
                <w:sz w:val="1"/>
                <w:szCs w:val="1"/>
                <w:color w:val="auto"/>
              </w:rPr>
            </w:pPr>
          </w:p>
        </w:tc>
      </w:tr>
      <w:tr>
        <w:trPr>
          <w:trHeight w:val="91"/>
        </w:trPr>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1,928​​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 20,672​​</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711​​</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29,768​​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53,079​​</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19,399​​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19,399​​</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4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4"/>
          </w:tcPr>
          <w:p>
            <w:pPr>
              <w:jc w:val="right"/>
              <w:ind w:right="84"/>
              <w:spacing w:after="0"/>
              <w:rPr>
                <w:sz w:val="20"/>
                <w:szCs w:val="20"/>
                <w:color w:val="auto"/>
              </w:rPr>
            </w:pPr>
            <w:r>
              <w:rPr>
                <w:rFonts w:ascii="Arial" w:cs="Arial" w:eastAsia="Arial" w:hAnsi="Arial"/>
                <w:sz w:val="15"/>
                <w:szCs w:val="15"/>
                <w:color w:val="auto"/>
              </w:rPr>
              <w:t>​ ​ ​143,210​​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​143,210​​</w:t>
            </w:r>
          </w:p>
        </w:tc>
        <w:tc>
          <w:tcPr>
            <w:tcW w:w="0" w:type="dxa"/>
            <w:vAlign w:val="bottom"/>
          </w:tcPr>
          <w:p>
            <w:pPr>
              <w:spacing w:after="0"/>
              <w:rPr>
                <w:sz w:val="1"/>
                <w:szCs w:val="1"/>
                <w:color w:val="auto"/>
              </w:rPr>
            </w:pPr>
          </w:p>
        </w:tc>
      </w:tr>
      <w:tr>
        <w:trPr>
          <w:trHeight w:val="256"/>
        </w:trPr>
        <w:tc>
          <w:tcPr>
            <w:tcW w:w="1060" w:type="dxa"/>
            <w:vAlign w:val="bottom"/>
            <w:gridSpan w:val="5"/>
          </w:tcPr>
          <w:p>
            <w:pPr>
              <w:spacing w:after="0"/>
              <w:rPr>
                <w:sz w:val="20"/>
                <w:szCs w:val="20"/>
                <w:color w:val="auto"/>
              </w:rPr>
            </w:pPr>
            <w:r>
              <w:rPr>
                <w:rFonts w:ascii="Arial" w:cs="Arial" w:eastAsia="Arial" w:hAnsi="Arial"/>
                <w:sz w:val="15"/>
                <w:szCs w:val="15"/>
                <w:color w:val="auto"/>
              </w:rPr>
              <w:t>​ ​​ ​ 62,052​​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15,887​​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77,939​​</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5,808​​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5,808​​</w:t>
            </w:r>
          </w:p>
        </w:tc>
        <w:tc>
          <w:tcPr>
            <w:tcW w:w="0" w:type="dxa"/>
            <w:vAlign w:val="bottom"/>
          </w:tcPr>
          <w:p>
            <w:pPr>
              <w:spacing w:after="0"/>
              <w:rPr>
                <w:sz w:val="1"/>
                <w:szCs w:val="1"/>
                <w:color w:val="auto"/>
              </w:rPr>
            </w:pPr>
          </w:p>
        </w:tc>
      </w:tr>
      <w:tr>
        <w:trPr>
          <w:trHeight w:val="168"/>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ind w:left="20"/>
              <w:spacing w:after="0" w:line="168"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8"/>
              <w:spacing w:after="0" w:line="168" w:lineRule="exact"/>
              <w:rPr>
                <w:sz w:val="20"/>
                <w:szCs w:val="20"/>
                <w:color w:val="auto"/>
              </w:rPr>
            </w:pPr>
            <w:r>
              <w:rPr>
                <w:rFonts w:ascii="Arial" w:cs="Arial" w:eastAsia="Arial" w:hAnsi="Arial"/>
                <w:sz w:val="15"/>
                <w:szCs w:val="15"/>
                <w:color w:val="auto"/>
              </w:rPr>
              <w:t>(384)</w:t>
            </w:r>
          </w:p>
        </w:tc>
        <w:tc>
          <w:tcPr>
            <w:tcW w:w="1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118</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line="168" w:lineRule="exact"/>
              <w:rPr>
                <w:sz w:val="20"/>
                <w:szCs w:val="20"/>
                <w:color w:val="auto"/>
              </w:rPr>
            </w:pPr>
            <w:r>
              <w:rPr>
                <w:rFonts w:ascii="Arial" w:cs="Arial" w:eastAsia="Arial" w:hAnsi="Arial"/>
                <w:sz w:val="15"/>
                <w:szCs w:val="15"/>
                <w:color w:val="auto"/>
              </w:rPr>
              <w:t>​</w:t>
            </w:r>
          </w:p>
        </w:tc>
        <w:tc>
          <w:tcPr>
            <w:tcW w:w="3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ind w:left="40"/>
              <w:spacing w:after="0" w:line="168"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50"/>
              <w:spacing w:after="0" w:line="168" w:lineRule="exact"/>
              <w:rPr>
                <w:sz w:val="20"/>
                <w:szCs w:val="20"/>
                <w:color w:val="auto"/>
              </w:rPr>
            </w:pPr>
            <w:r>
              <w:rPr>
                <w:rFonts w:ascii="Arial" w:cs="Arial" w:eastAsia="Arial" w:hAnsi="Arial"/>
                <w:sz w:val="15"/>
                <w:szCs w:val="15"/>
                <w:color w:val="auto"/>
              </w:rPr>
              <w:t>1,992</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40" w:type="dxa"/>
            <w:vAlign w:val="bottom"/>
          </w:tcPr>
          <w:p>
            <w:pPr>
              <w:ind w:left="20"/>
              <w:spacing w:after="0" w:line="168" w:lineRule="exact"/>
              <w:rPr>
                <w:sz w:val="20"/>
                <w:szCs w:val="20"/>
                <w:color w:val="auto"/>
              </w:rPr>
            </w:pPr>
            <w:r>
              <w:rPr>
                <w:rFonts w:ascii="Arial" w:cs="Arial" w:eastAsia="Arial" w:hAnsi="Arial"/>
                <w:sz w:val="15"/>
                <w:szCs w:val="15"/>
                <w:color w:val="auto"/>
              </w:rPr>
              <w:t>​</w:t>
            </w:r>
          </w:p>
        </w:tc>
        <w:tc>
          <w:tcPr>
            <w:tcW w:w="560" w:type="dxa"/>
            <w:vAlign w:val="bottom"/>
          </w:tcPr>
          <w:p>
            <w:pPr>
              <w:jc w:val="right"/>
              <w:ind w:right="52"/>
              <w:spacing w:after="0" w:line="168" w:lineRule="exact"/>
              <w:rPr>
                <w:sz w:val="20"/>
                <w:szCs w:val="20"/>
                <w:color w:val="auto"/>
              </w:rPr>
            </w:pPr>
            <w:r>
              <w:rPr>
                <w:rFonts w:ascii="Arial" w:cs="Arial" w:eastAsia="Arial" w:hAnsi="Arial"/>
                <w:sz w:val="15"/>
                <w:szCs w:val="15"/>
                <w:color w:val="auto"/>
              </w:rPr>
              <w:t>1,726</w:t>
            </w:r>
          </w:p>
        </w:tc>
        <w:tc>
          <w:tcPr>
            <w:tcW w:w="0" w:type="dxa"/>
            <w:vAlign w:val="bottom"/>
          </w:tcPr>
          <w:p>
            <w:pPr>
              <w:spacing w:after="0"/>
              <w:rPr>
                <w:sz w:val="1"/>
                <w:szCs w:val="1"/>
                <w:color w:val="auto"/>
              </w:rPr>
            </w:pPr>
          </w:p>
        </w:tc>
      </w:tr>
      <w:tr>
        <w:trPr>
          <w:trHeight w:val="91"/>
        </w:trPr>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1,368​​</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1,368​​</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1,169​​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1,169​​</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1,165​​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249​​</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187​​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2"/>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(181)</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04"/>
        </w:trPr>
        <w:tc>
          <w:tcPr>
            <w:tcW w:w="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2"/>
                <w:szCs w:val="12"/>
                <w:color w:val="auto"/>
              </w:rPr>
              <w:t>​​</w:t>
            </w:r>
          </w:p>
        </w:tc>
        <w:tc>
          <w:tcPr>
            <w:tcW w:w="2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120" w:type="dxa"/>
            <w:vAlign w:val="bottom"/>
          </w:tcPr>
          <w:p>
            <w:pPr>
              <w:ind w:left="20"/>
              <w:spacing w:after="0" w:line="153"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53" w:lineRule="exact"/>
              <w:rPr>
                <w:sz w:val="20"/>
                <w:szCs w:val="20"/>
                <w:color w:val="auto"/>
              </w:rPr>
            </w:pPr>
            <w:r>
              <w:rPr>
                <w:rFonts w:ascii="Arial" w:cs="Arial" w:eastAsia="Arial" w:hAnsi="Arial"/>
                <w:sz w:val="15"/>
                <w:szCs w:val="15"/>
                <w:color w:val="auto"/>
              </w:rPr>
              <w:t>77</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line="153" w:lineRule="exact"/>
              <w:rPr>
                <w:sz w:val="20"/>
                <w:szCs w:val="20"/>
                <w:color w:val="auto"/>
              </w:rPr>
            </w:pPr>
            <w:r>
              <w:rPr>
                <w:rFonts w:ascii="Arial" w:cs="Arial" w:eastAsia="Arial" w:hAnsi="Arial"/>
                <w:sz w:val="15"/>
                <w:szCs w:val="15"/>
                <w:color w:val="auto"/>
              </w:rPr>
              <w:t>​</w:t>
            </w:r>
          </w:p>
        </w:tc>
        <w:tc>
          <w:tcPr>
            <w:tcW w:w="30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20" w:type="dxa"/>
            <w:vAlign w:val="bottom"/>
          </w:tcPr>
          <w:p>
            <w:pPr>
              <w:ind w:left="40"/>
              <w:spacing w:after="0" w:line="153"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3" w:lineRule="exact"/>
              <w:rPr>
                <w:sz w:val="20"/>
                <w:szCs w:val="20"/>
                <w:color w:val="auto"/>
              </w:rPr>
            </w:pPr>
            <w:r>
              <w:rPr>
                <w:rFonts w:ascii="Arial" w:cs="Arial" w:eastAsia="Arial" w:hAnsi="Arial"/>
                <w:sz w:val="15"/>
                <w:szCs w:val="15"/>
                <w:color w:val="auto"/>
              </w:rPr>
              <w:t>(287)</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40" w:type="dxa"/>
            <w:vAlign w:val="bottom"/>
          </w:tcPr>
          <w:p>
            <w:pPr>
              <w:ind w:left="20"/>
              <w:spacing w:after="0" w:line="153"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53" w:lineRule="exact"/>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68"/>
        </w:trPr>
        <w:tc>
          <w:tcPr>
            <w:tcW w:w="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2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$217,308</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$376,056</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$6,978</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$(146,896)</w:t>
            </w:r>
          </w:p>
        </w:tc>
        <w:tc>
          <w:tcPr>
            <w:tcW w:w="24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ind w:right="52"/>
              <w:spacing w:after="0"/>
              <w:rPr>
                <w:sz w:val="20"/>
                <w:szCs w:val="20"/>
                <w:color w:val="auto"/>
              </w:rPr>
            </w:pPr>
            <w:r>
              <w:rPr>
                <w:rFonts w:ascii="Arial" w:cs="Arial" w:eastAsia="Arial" w:hAnsi="Arial"/>
                <w:sz w:val="15"/>
                <w:szCs w:val="15"/>
                <w:color w:val="auto"/>
              </w:rPr>
              <w:t>$453,446</w:t>
            </w:r>
          </w:p>
        </w:tc>
        <w:tc>
          <w:tcPr>
            <w:tcW w:w="0" w:type="dxa"/>
            <w:vAlign w:val="bottom"/>
          </w:tcPr>
          <w:p>
            <w:pPr>
              <w:spacing w:after="0"/>
              <w:rPr>
                <w:sz w:val="1"/>
                <w:szCs w:val="1"/>
                <w:color w:val="auto"/>
              </w:rPr>
            </w:pPr>
          </w:p>
        </w:tc>
      </w:tr>
      <w:tr>
        <w:trPr>
          <w:trHeight w:val="104"/>
        </w:trPr>
        <w:tc>
          <w:tcPr>
            <w:tcW w:w="220" w:type="dxa"/>
            <w:vAlign w:val="bottom"/>
            <w:gridSpan w:val="2"/>
          </w:tcPr>
          <w:p>
            <w:pPr>
              <w:spacing w:after="0" w:line="105" w:lineRule="exact"/>
              <w:rPr>
                <w:sz w:val="20"/>
                <w:szCs w:val="20"/>
                <w:color w:val="auto"/>
              </w:rPr>
            </w:pPr>
            <w:r>
              <w:rPr>
                <w:rFonts w:ascii="Arial" w:cs="Arial" w:eastAsia="Arial" w:hAnsi="Arial"/>
                <w:sz w:val="12"/>
                <w:szCs w:val="12"/>
                <w:color w:val="auto"/>
              </w:rPr>
              <w:t>​ ​​</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jc w:val="right"/>
              <w:spacing w:after="0" w:line="105" w:lineRule="exact"/>
              <w:rPr>
                <w:sz w:val="20"/>
                <w:szCs w:val="20"/>
                <w:color w:val="auto"/>
              </w:rPr>
            </w:pPr>
            <w:r>
              <w:rPr>
                <w:rFonts w:ascii="Arial" w:cs="Arial" w:eastAsia="Arial" w:hAnsi="Arial"/>
                <w:sz w:val="12"/>
                <w:szCs w:val="12"/>
                <w:color w:val="auto"/>
              </w:rPr>
              <w:t>​​ ​​</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ind w:left="40"/>
              <w:spacing w:after="0" w:line="10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80" w:type="dxa"/>
            <w:vAlign w:val="bottom"/>
          </w:tcPr>
          <w:p>
            <w:pPr>
              <w:ind w:left="20"/>
              <w:spacing w:after="0" w:line="105" w:lineRule="exact"/>
              <w:rPr>
                <w:sz w:val="20"/>
                <w:szCs w:val="20"/>
                <w:color w:val="auto"/>
              </w:rPr>
            </w:pPr>
            <w:r>
              <w:rPr>
                <w:rFonts w:ascii="Arial" w:cs="Arial" w:eastAsia="Arial" w:hAnsi="Arial"/>
                <w:sz w:val="12"/>
                <w:szCs w:val="12"/>
                <w:color w:val="auto"/>
              </w:rPr>
              <w:t>​ ​</w:t>
            </w:r>
          </w:p>
        </w:tc>
        <w:tc>
          <w:tcPr>
            <w:tcW w:w="12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2"/>
                <w:szCs w:val="12"/>
                <w:color w:val="auto"/>
              </w:rPr>
              <w:t>​​</w:t>
            </w:r>
          </w:p>
        </w:tc>
        <w:tc>
          <w:tcPr>
            <w:tcW w:w="240" w:type="dxa"/>
            <w:vAlign w:val="bottom"/>
            <w:vMerge w:val="continue"/>
          </w:tcPr>
          <w:p>
            <w:pPr>
              <w:spacing w:after="0"/>
              <w:rPr>
                <w:sz w:val="9"/>
                <w:szCs w:val="9"/>
                <w:color w:val="auto"/>
              </w:rPr>
            </w:pPr>
          </w:p>
        </w:tc>
        <w:tc>
          <w:tcPr>
            <w:tcW w:w="240" w:type="dxa"/>
            <w:vAlign w:val="bottom"/>
          </w:tcPr>
          <w:p>
            <w:pPr>
              <w:ind w:left="160"/>
              <w:spacing w:after="0" w:line="10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860" w:type="dxa"/>
            <w:vAlign w:val="bottom"/>
            <w:gridSpan w:val="3"/>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580" w:type="dxa"/>
            <w:vAlign w:val="bottom"/>
            <w:gridSpan w:val="2"/>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320" w:type="dxa"/>
            <w:vAlign w:val="bottom"/>
            <w:gridSpan w:val="3"/>
          </w:tcPr>
          <w:p>
            <w:pPr>
              <w:ind w:left="20"/>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40" w:type="dxa"/>
            <w:vAlign w:val="bottom"/>
            <w:gridSpan w:val="2"/>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300" w:type="dxa"/>
            <w:vAlign w:val="bottom"/>
            <w:gridSpan w:val="2"/>
          </w:tcPr>
          <w:p>
            <w:pPr>
              <w:ind w:left="20"/>
              <w:spacing w:after="0" w:line="22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880" w:type="dxa"/>
            <w:vAlign w:val="bottom"/>
            <w:gridSpan w:val="2"/>
          </w:tcPr>
          <w:p>
            <w:pPr>
              <w:jc w:val="right"/>
              <w:ind w:right="84"/>
              <w:spacing w:after="0" w:line="220" w:lineRule="exact"/>
              <w:rPr>
                <w:sz w:val="20"/>
                <w:szCs w:val="20"/>
                <w:color w:val="auto"/>
              </w:rPr>
            </w:pPr>
            <w:r>
              <w:rPr>
                <w:rFonts w:ascii="Arial" w:cs="Arial" w:eastAsia="Arial" w:hAnsi="Arial"/>
                <w:sz w:val="13"/>
                <w:szCs w:val="13"/>
                <w:color w:val="auto"/>
              </w:rPr>
              <w:t>5,081</w:t>
            </w:r>
            <w:r>
              <w:rPr>
                <w:rFonts w:ascii="Arial" w:cs="Arial" w:eastAsia="Arial" w:hAnsi="Arial"/>
                <w:sz w:val="25"/>
                <w:szCs w:val="25"/>
                <w:color w:val="auto"/>
                <w:vertAlign w:val="subscript"/>
              </w:rPr>
              <w:t>​​ ​</w:t>
            </w:r>
          </w:p>
        </w:tc>
        <w:tc>
          <w:tcPr>
            <w:tcW w:w="380" w:type="dxa"/>
            <w:vAlign w:val="bottom"/>
            <w:gridSpan w:val="2"/>
          </w:tcPr>
          <w:p>
            <w:pPr>
              <w:ind w:left="160"/>
              <w:spacing w:after="0" w:line="22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560" w:type="dxa"/>
            <w:vAlign w:val="bottom"/>
          </w:tcPr>
          <w:p>
            <w:pPr>
              <w:jc w:val="right"/>
              <w:spacing w:after="0" w:line="220" w:lineRule="exact"/>
              <w:rPr>
                <w:sz w:val="20"/>
                <w:szCs w:val="20"/>
                <w:color w:val="auto"/>
              </w:rPr>
            </w:pPr>
            <w:r>
              <w:rPr>
                <w:rFonts w:ascii="Arial" w:cs="Arial" w:eastAsia="Arial" w:hAnsi="Arial"/>
                <w:sz w:val="13"/>
                <w:szCs w:val="13"/>
                <w:color w:val="auto"/>
              </w:rPr>
              <w:t>5,081</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$217,308</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$376,056</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$6,978</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$(141,815)</w:t>
            </w:r>
          </w:p>
        </w:tc>
        <w:tc>
          <w:tcPr>
            <w:tcW w:w="24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3"/>
          </w:tcPr>
          <w:p>
            <w:pPr>
              <w:jc w:val="right"/>
              <w:ind w:right="52"/>
              <w:spacing w:after="0"/>
              <w:rPr>
                <w:sz w:val="20"/>
                <w:szCs w:val="20"/>
                <w:color w:val="auto"/>
              </w:rPr>
            </w:pPr>
            <w:r>
              <w:rPr>
                <w:rFonts w:ascii="Arial" w:cs="Arial" w:eastAsia="Arial" w:hAnsi="Arial"/>
                <w:sz w:val="15"/>
                <w:szCs w:val="15"/>
                <w:color w:val="auto"/>
              </w:rPr>
              <w:t>$458,527</w:t>
            </w:r>
          </w:p>
        </w:tc>
        <w:tc>
          <w:tcPr>
            <w:tcW w:w="0" w:type="dxa"/>
            <w:vAlign w:val="bottom"/>
          </w:tcPr>
          <w:p>
            <w:pPr>
              <w:spacing w:after="0"/>
              <w:rPr>
                <w:sz w:val="1"/>
                <w:szCs w:val="1"/>
                <w:color w:val="auto"/>
              </w:rPr>
            </w:pPr>
          </w:p>
        </w:tc>
      </w:tr>
      <w:tr>
        <w:trPr>
          <w:trHeight w:val="167"/>
        </w:trPr>
        <w:tc>
          <w:tcPr>
            <w:tcW w:w="220" w:type="dxa"/>
            <w:vAlign w:val="bottom"/>
            <w:gridSpan w:val="2"/>
          </w:tcPr>
          <w:p>
            <w:pPr>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 ​​</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ind w:left="40"/>
              <w:spacing w:after="0" w:line="16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ind w:left="20"/>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6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240" w:type="dxa"/>
            <w:vAlign w:val="bottom"/>
            <w:vMerge w:val="continue"/>
          </w:tcPr>
          <w:p>
            <w:pPr>
              <w:spacing w:after="0"/>
              <w:rPr>
                <w:sz w:val="14"/>
                <w:szCs w:val="14"/>
                <w:color w:val="auto"/>
              </w:rPr>
            </w:pPr>
          </w:p>
        </w:tc>
        <w:tc>
          <w:tcPr>
            <w:tcW w:w="240" w:type="dxa"/>
            <w:vAlign w:val="bottom"/>
          </w:tcPr>
          <w:p>
            <w:pPr>
              <w:ind w:left="160"/>
              <w:spacing w:after="0" w:line="16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-2797175</wp:posOffset>
            </wp:positionV>
            <wp:extent cx="583755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-2488565</wp:posOffset>
            </wp:positionV>
            <wp:extent cx="5837555"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37555" cy="16256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-2171065</wp:posOffset>
            </wp:positionV>
            <wp:extent cx="5837555" cy="163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-1854200</wp:posOffset>
            </wp:positionV>
            <wp:extent cx="5837555"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-1545590</wp:posOffset>
            </wp:positionV>
            <wp:extent cx="583755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-1236980</wp:posOffset>
            </wp:positionV>
            <wp:extent cx="583755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-928370</wp:posOffset>
            </wp:positionV>
            <wp:extent cx="5837555"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-242570</wp:posOffset>
            </wp:positionV>
            <wp:extent cx="5837555" cy="180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37555" cy="18034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-593725</wp:posOffset>
            </wp:positionV>
            <wp:extent cx="5837555"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-3122930</wp:posOffset>
            </wp:positionV>
            <wp:extent cx="583755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60" w:space="440"/>
            <w:col w:w="4700"/>
          </w:cols>
          <w:pgMar w:left="580" w:top="97" w:right="1319" w:bottom="1440" w:gutter="0" w:footer="0" w:header="0"/>
          <w:type w:val="continuous"/>
        </w:sectPr>
      </w:pPr>
    </w:p>
    <w:p>
      <w:pPr>
        <w:ind w:left="1120" w:hanging="358"/>
        <w:spacing w:after="0"/>
        <w:tabs>
          <w:tab w:leader="none" w:pos="11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Special items are reported as Other Gains and Charges in the Company’s Consolidated Statements of Operations.</w:t>
      </w:r>
    </w:p>
    <w:p>
      <w:pPr>
        <w:spacing w:after="0" w:line="14" w:lineRule="exact"/>
        <w:rPr>
          <w:rFonts w:ascii="Arial" w:cs="Arial" w:eastAsia="Arial" w:hAnsi="Arial"/>
          <w:sz w:val="14"/>
          <w:szCs w:val="14"/>
          <w:i w:val="1"/>
          <w:iCs w:val="1"/>
          <w:color w:val="auto"/>
        </w:rPr>
      </w:pPr>
    </w:p>
    <w:p>
      <w:pPr>
        <w:jc w:val="both"/>
        <w:ind w:left="1120" w:right="40" w:hanging="358"/>
        <w:spacing w:after="0" w:line="280" w:lineRule="auto"/>
        <w:tabs>
          <w:tab w:leader="none" w:pos="11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of approximately $64.9 million related to the total fair value of acquired intangible assets, incremental depreciation of approximately $15.9 million related to the fair value increase over net book value for acquired software assets, and a depreciation credit adjustment of approximately $(2.9) million related to a step-down of estimated fair value below net book value for acquired lease merchandise.</w:t>
      </w:r>
    </w:p>
    <w:p>
      <w:pPr>
        <w:spacing w:after="0" w:line="153"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in our fourth quarter earnings press release furnished on February 23, 2023 on our Current Report on Form 8-K.</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As defined above and included in the above Pay Versus Performance tables and 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tabs>
          <w:tab w:leader="none" w:pos="970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A: RECONCILIATION OF GAAP MEASURES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243840</wp:posOffset>
            </wp:positionV>
            <wp:extent cx="51435" cy="4457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445770"/>
                    </a:xfrm>
                    <a:prstGeom prst="rect">
                      <a:avLst/>
                    </a:prstGeom>
                    <a:noFill/>
                  </pic:spPr>
                </pic:pic>
              </a:graphicData>
            </a:graphic>
          </wp:anchor>
        </w:drawing>
      </w:r>
    </w:p>
    <w:p>
      <w:pPr>
        <w:spacing w:after="0" w:line="385"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920" w:type="dxa"/>
            <w:vAlign w:val="bottom"/>
          </w:tcPr>
          <w:p>
            <w:pPr>
              <w:jc w:val="center"/>
              <w:ind w:right="2736"/>
              <w:spacing w:after="0"/>
              <w:rPr>
                <w:sz w:val="20"/>
                <w:szCs w:val="20"/>
                <w:color w:val="auto"/>
              </w:rPr>
            </w:pPr>
            <w:r>
              <w:rPr>
                <w:rFonts w:ascii="Arial" w:cs="Arial" w:eastAsia="Arial" w:hAnsi="Arial"/>
                <w:sz w:val="15"/>
                <w:szCs w:val="15"/>
                <w:b w:val="1"/>
                <w:bCs w:val="1"/>
                <w:color w:val="auto"/>
              </w:rPr>
              <w:t>​ ​</w:t>
            </w:r>
          </w:p>
        </w:tc>
        <w:tc>
          <w:tcPr>
            <w:tcW w:w="2420" w:type="dxa"/>
            <w:vAlign w:val="bottom"/>
            <w:gridSpan w:val="3"/>
          </w:tcPr>
          <w:p>
            <w:pPr>
              <w:ind w:left="1560"/>
              <w:spacing w:after="0"/>
              <w:rPr>
                <w:sz w:val="20"/>
                <w:szCs w:val="20"/>
                <w:color w:val="auto"/>
              </w:rPr>
            </w:pPr>
            <w:r>
              <w:rPr>
                <w:rFonts w:ascii="Arial" w:cs="Arial" w:eastAsia="Arial" w:hAnsi="Arial"/>
                <w:sz w:val="15"/>
                <w:szCs w:val="15"/>
                <w:b w:val="1"/>
                <w:bCs w:val="1"/>
                <w:color w:val="auto"/>
              </w:rPr>
              <w:t>​ ​</w:t>
            </w:r>
          </w:p>
        </w:tc>
        <w:tc>
          <w:tcPr>
            <w:tcW w:w="2920" w:type="dxa"/>
            <w:vAlign w:val="bottom"/>
            <w:gridSpan w:val="4"/>
          </w:tcPr>
          <w:p>
            <w:pPr>
              <w:jc w:val="right"/>
              <w:ind w:right="233"/>
              <w:spacing w:after="0"/>
              <w:rPr>
                <w:sz w:val="20"/>
                <w:szCs w:val="20"/>
                <w:color w:val="auto"/>
              </w:rPr>
            </w:pPr>
            <w:r>
              <w:rPr>
                <w:rFonts w:ascii="Arial" w:cs="Arial" w:eastAsia="Arial" w:hAnsi="Arial"/>
                <w:sz w:val="15"/>
                <w:szCs w:val="15"/>
                <w:b w:val="1"/>
                <w:bCs w:val="1"/>
                <w:color w:val="auto"/>
              </w:rPr>
              <w:t>Year Ended December 31, 2021</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4"/>
        </w:trPr>
        <w:tc>
          <w:tcPr>
            <w:tcW w:w="2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left="133"/>
              <w:spacing w:after="0"/>
              <w:rPr>
                <w:sz w:val="20"/>
                <w:szCs w:val="20"/>
                <w:color w:val="auto"/>
              </w:rPr>
            </w:pPr>
            <w:r>
              <w:rPr>
                <w:rFonts w:ascii="Arial" w:cs="Arial" w:eastAsia="Arial" w:hAnsi="Arial"/>
                <w:sz w:val="15"/>
                <w:szCs w:val="15"/>
                <w:b w:val="1"/>
                <w:bCs w:val="1"/>
                <w:color w:val="auto"/>
              </w:rPr>
              <w:t>Rent-A-</w:t>
            </w: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 thousands)</w:t>
            </w:r>
          </w:p>
        </w:tc>
        <w:tc>
          <w:tcPr>
            <w:tcW w:w="2420" w:type="dxa"/>
            <w:vAlign w:val="bottom"/>
            <w:gridSpan w:val="3"/>
          </w:tcPr>
          <w:p>
            <w:pPr>
              <w:ind w:left="1620"/>
              <w:spacing w:after="0"/>
              <w:rPr>
                <w:sz w:val="20"/>
                <w:szCs w:val="20"/>
                <w:color w:val="auto"/>
              </w:rPr>
            </w:pPr>
            <w:r>
              <w:rPr>
                <w:rFonts w:ascii="Arial" w:cs="Arial" w:eastAsia="Arial" w:hAnsi="Arial"/>
                <w:sz w:val="15"/>
                <w:szCs w:val="15"/>
                <w:b w:val="1"/>
                <w:bCs w:val="1"/>
                <w:color w:val="auto"/>
              </w:rPr>
              <w:t>​ ​ Acima</w:t>
            </w: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 ​ Center</w:t>
            </w:r>
          </w:p>
        </w:tc>
        <w:tc>
          <w:tcPr>
            <w:tcW w:w="3020" w:type="dxa"/>
            <w:vAlign w:val="bottom"/>
            <w:gridSpan w:val="5"/>
          </w:tcPr>
          <w:p>
            <w:pPr>
              <w:ind w:left="60"/>
              <w:spacing w:after="0"/>
              <w:rPr>
                <w:sz w:val="20"/>
                <w:szCs w:val="20"/>
                <w:color w:val="auto"/>
              </w:rPr>
            </w:pPr>
            <w:r>
              <w:rPr>
                <w:rFonts w:ascii="Arial" w:cs="Arial" w:eastAsia="Arial" w:hAnsi="Arial"/>
                <w:sz w:val="15"/>
                <w:szCs w:val="15"/>
                <w:b w:val="1"/>
                <w:bCs w:val="1"/>
                <w:color w:val="auto"/>
              </w:rPr>
              <w:t>​ ​ Mexico ​ ​Corporate ​ ​Consolidated ​</w:t>
            </w:r>
          </w:p>
        </w:tc>
        <w:tc>
          <w:tcPr>
            <w:tcW w:w="0" w:type="dxa"/>
            <w:vAlign w:val="bottom"/>
          </w:tcPr>
          <w:p>
            <w:pPr>
              <w:spacing w:after="0"/>
              <w:rPr>
                <w:sz w:val="1"/>
                <w:szCs w:val="1"/>
                <w:color w:val="auto"/>
              </w:rPr>
            </w:pPr>
          </w:p>
        </w:tc>
      </w:tr>
      <w:tr>
        <w:trPr>
          <w:trHeight w:val="169"/>
        </w:trPr>
        <w:tc>
          <w:tcPr>
            <w:tcW w:w="2920" w:type="dxa"/>
            <w:vAlign w:val="bottom"/>
            <w:tcBorders>
              <w:top w:val="single" w:sz="8" w:color="E5E5E5"/>
            </w:tcBorders>
            <w:shd w:val="clear" w:color="auto" w:fill="E5E5E5"/>
          </w:tcPr>
          <w:p>
            <w:pPr>
              <w:ind w:left="80"/>
              <w:spacing w:after="0" w:line="169" w:lineRule="exact"/>
              <w:rPr>
                <w:sz w:val="20"/>
                <w:szCs w:val="20"/>
                <w:color w:val="auto"/>
              </w:rPr>
            </w:pPr>
            <w:r>
              <w:rPr>
                <w:rFonts w:ascii="Arial" w:cs="Arial" w:eastAsia="Arial" w:hAnsi="Arial"/>
                <w:sz w:val="15"/>
                <w:szCs w:val="15"/>
                <w:color w:val="auto"/>
              </w:rPr>
              <w:t>Net earnings (loss)</w:t>
            </w:r>
          </w:p>
        </w:tc>
        <w:tc>
          <w:tcPr>
            <w:tcW w:w="1660" w:type="dxa"/>
            <w:vAlign w:val="bottom"/>
            <w:tcBorders>
              <w:top w:val="single" w:sz="8" w:color="E5E5E5"/>
            </w:tcBorders>
            <w:shd w:val="clear" w:color="auto" w:fill="E5E5E5"/>
          </w:tcPr>
          <w:p>
            <w:pPr>
              <w:spacing w:after="0"/>
              <w:rPr>
                <w:sz w:val="14"/>
                <w:szCs w:val="14"/>
                <w:color w:val="auto"/>
              </w:rPr>
            </w:pPr>
          </w:p>
        </w:tc>
        <w:tc>
          <w:tcPr>
            <w:tcW w:w="760" w:type="dxa"/>
            <w:vAlign w:val="bottom"/>
            <w:tcBorders>
              <w:top w:val="single" w:sz="8" w:color="auto"/>
            </w:tcBorders>
            <w:gridSpan w:val="2"/>
            <w:shd w:val="clear" w:color="auto" w:fill="E5E5E5"/>
          </w:tcPr>
          <w:p>
            <w:pPr>
              <w:jc w:val="right"/>
              <w:spacing w:after="0" w:line="169" w:lineRule="exact"/>
              <w:rPr>
                <w:sz w:val="20"/>
                <w:szCs w:val="20"/>
                <w:color w:val="auto"/>
              </w:rPr>
            </w:pPr>
            <w:r>
              <w:rPr>
                <w:rFonts w:ascii="Arial" w:cs="Arial" w:eastAsia="Arial" w:hAnsi="Arial"/>
                <w:sz w:val="15"/>
                <w:szCs w:val="15"/>
                <w:color w:val="auto"/>
              </w:rPr>
              <w:t>$176,496</w:t>
            </w:r>
          </w:p>
        </w:tc>
        <w:tc>
          <w:tcPr>
            <w:tcW w:w="840" w:type="dxa"/>
            <w:vAlign w:val="bottom"/>
            <w:tcBorders>
              <w:top w:val="single" w:sz="8" w:color="auto"/>
            </w:tcBorders>
            <w:shd w:val="clear" w:color="auto" w:fill="E5E5E5"/>
          </w:tcPr>
          <w:p>
            <w:pPr>
              <w:jc w:val="right"/>
              <w:spacing w:after="0" w:line="169" w:lineRule="exact"/>
              <w:rPr>
                <w:sz w:val="20"/>
                <w:szCs w:val="20"/>
                <w:color w:val="auto"/>
              </w:rPr>
            </w:pPr>
            <w:r>
              <w:rPr>
                <w:rFonts w:ascii="Arial" w:cs="Arial" w:eastAsia="Arial" w:hAnsi="Arial"/>
                <w:sz w:val="15"/>
                <w:szCs w:val="15"/>
                <w:color w:val="auto"/>
              </w:rPr>
              <w:t>$469,226</w:t>
            </w:r>
          </w:p>
        </w:tc>
        <w:tc>
          <w:tcPr>
            <w:tcW w:w="760" w:type="dxa"/>
            <w:vAlign w:val="bottom"/>
            <w:tcBorders>
              <w:top w:val="single" w:sz="8" w:color="auto"/>
            </w:tcBorders>
            <w:shd w:val="clear" w:color="auto" w:fill="E5E5E5"/>
          </w:tcPr>
          <w:p>
            <w:pPr>
              <w:jc w:val="right"/>
              <w:spacing w:after="0" w:line="169" w:lineRule="exact"/>
              <w:rPr>
                <w:sz w:val="20"/>
                <w:szCs w:val="20"/>
                <w:color w:val="auto"/>
              </w:rPr>
            </w:pPr>
            <w:r>
              <w:rPr>
                <w:rFonts w:ascii="Arial" w:cs="Arial" w:eastAsia="Arial" w:hAnsi="Arial"/>
                <w:sz w:val="15"/>
                <w:szCs w:val="15"/>
                <w:color w:val="auto"/>
              </w:rPr>
              <w:t>$7,858</w:t>
            </w:r>
          </w:p>
        </w:tc>
        <w:tc>
          <w:tcPr>
            <w:tcW w:w="1320" w:type="dxa"/>
            <w:vAlign w:val="bottom"/>
            <w:tcBorders>
              <w:top w:val="single" w:sz="8" w:color="auto"/>
            </w:tcBorders>
            <w:gridSpan w:val="2"/>
            <w:shd w:val="clear" w:color="auto" w:fill="E5E5E5"/>
          </w:tcPr>
          <w:p>
            <w:pPr>
              <w:jc w:val="right"/>
              <w:ind w:right="273"/>
              <w:spacing w:after="0" w:line="169" w:lineRule="exact"/>
              <w:rPr>
                <w:sz w:val="20"/>
                <w:szCs w:val="20"/>
                <w:color w:val="auto"/>
              </w:rPr>
            </w:pPr>
            <w:r>
              <w:rPr>
                <w:rFonts w:ascii="Arial" w:cs="Arial" w:eastAsia="Arial" w:hAnsi="Arial"/>
                <w:sz w:val="15"/>
                <w:szCs w:val="15"/>
                <w:color w:val="auto"/>
              </w:rPr>
              <w:t>$(518,640)</w:t>
            </w:r>
          </w:p>
        </w:tc>
        <w:tc>
          <w:tcPr>
            <w:tcW w:w="820" w:type="dxa"/>
            <w:vAlign w:val="bottom"/>
            <w:tcBorders>
              <w:top w:val="single" w:sz="8" w:color="auto"/>
            </w:tcBorders>
            <w:shd w:val="clear" w:color="auto" w:fill="E5E5E5"/>
          </w:tcPr>
          <w:p>
            <w:pPr>
              <w:ind w:left="180"/>
              <w:spacing w:after="0" w:line="169" w:lineRule="exact"/>
              <w:rPr>
                <w:sz w:val="20"/>
                <w:szCs w:val="20"/>
                <w:color w:val="auto"/>
              </w:rPr>
            </w:pPr>
            <w:r>
              <w:rPr>
                <w:rFonts w:ascii="Arial" w:cs="Arial" w:eastAsia="Arial" w:hAnsi="Arial"/>
                <w:sz w:val="15"/>
                <w:szCs w:val="15"/>
                <w:color w:val="auto"/>
                <w:w w:val="99"/>
              </w:rPr>
              <w:t>$134,940</w:t>
            </w:r>
          </w:p>
        </w:tc>
        <w:tc>
          <w:tcPr>
            <w:tcW w:w="120" w:type="dxa"/>
            <w:vAlign w:val="bottom"/>
            <w:tcBorders>
              <w:top w:val="single" w:sz="8" w:color="auto"/>
            </w:tcBorders>
            <w:vMerge w:val="restart"/>
            <w:shd w:val="clear" w:color="auto" w:fill="E5E5E5"/>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2920" w:type="dxa"/>
            <w:vAlign w:val="bottom"/>
            <w:shd w:val="clear" w:color="auto" w:fill="E5E5E5"/>
          </w:tcPr>
          <w:p>
            <w:pPr>
              <w:jc w:val="center"/>
              <w:ind w:right="2736"/>
              <w:spacing w:after="0" w:line="54" w:lineRule="exact"/>
              <w:rPr>
                <w:sz w:val="20"/>
                <w:szCs w:val="20"/>
                <w:color w:val="auto"/>
              </w:rPr>
            </w:pPr>
            <w:r>
              <w:rPr>
                <w:rFonts w:ascii="Arial" w:cs="Arial" w:eastAsia="Arial" w:hAnsi="Arial"/>
                <w:sz w:val="5"/>
                <w:szCs w:val="5"/>
                <w:color w:val="auto"/>
              </w:rPr>
              <w:t>​</w:t>
            </w:r>
          </w:p>
        </w:tc>
        <w:tc>
          <w:tcPr>
            <w:tcW w:w="2420" w:type="dxa"/>
            <w:vAlign w:val="bottom"/>
            <w:gridSpan w:val="3"/>
            <w:shd w:val="clear" w:color="auto" w:fill="E5E5E5"/>
          </w:tcPr>
          <w:p>
            <w:pPr>
              <w:ind w:left="1620"/>
              <w:spacing w:after="0" w:line="54" w:lineRule="exact"/>
              <w:rPr>
                <w:sz w:val="20"/>
                <w:szCs w:val="20"/>
                <w:color w:val="auto"/>
              </w:rPr>
            </w:pPr>
            <w:r>
              <w:rPr>
                <w:rFonts w:ascii="Arial" w:cs="Arial" w:eastAsia="Arial" w:hAnsi="Arial"/>
                <w:sz w:val="5"/>
                <w:szCs w:val="5"/>
                <w:color w:val="auto"/>
              </w:rPr>
              <w:t>​ ​​</w:t>
            </w:r>
          </w:p>
        </w:tc>
        <w:tc>
          <w:tcPr>
            <w:tcW w:w="84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w:t>
            </w:r>
          </w:p>
        </w:tc>
        <w:tc>
          <w:tcPr>
            <w:tcW w:w="760" w:type="dxa"/>
            <w:vAlign w:val="bottom"/>
            <w:shd w:val="clear" w:color="auto" w:fill="E5E5E5"/>
          </w:tcPr>
          <w:p>
            <w:pPr>
              <w:jc w:val="right"/>
              <w:ind w:right="380"/>
              <w:spacing w:after="0" w:line="54" w:lineRule="exact"/>
              <w:rPr>
                <w:sz w:val="20"/>
                <w:szCs w:val="20"/>
                <w:color w:val="auto"/>
              </w:rPr>
            </w:pPr>
            <w:r>
              <w:rPr>
                <w:rFonts w:ascii="Arial" w:cs="Arial" w:eastAsia="Arial" w:hAnsi="Arial"/>
                <w:sz w:val="5"/>
                <w:szCs w:val="5"/>
                <w:color w:val="auto"/>
              </w:rPr>
              <w:t>​​ ​ ​</w:t>
            </w:r>
          </w:p>
        </w:tc>
        <w:tc>
          <w:tcPr>
            <w:tcW w:w="620" w:type="dxa"/>
            <w:vAlign w:val="bottom"/>
            <w:shd w:val="clear" w:color="auto" w:fill="E5E5E5"/>
          </w:tcPr>
          <w:p>
            <w:pPr>
              <w:spacing w:after="0" w:line="54" w:lineRule="exact"/>
              <w:rPr>
                <w:sz w:val="20"/>
                <w:szCs w:val="20"/>
                <w:color w:val="auto"/>
              </w:rPr>
            </w:pPr>
            <w:r>
              <w:rPr>
                <w:rFonts w:ascii="Arial" w:cs="Arial" w:eastAsia="Arial" w:hAnsi="Arial"/>
                <w:sz w:val="5"/>
                <w:szCs w:val="5"/>
                <w:color w:val="auto"/>
              </w:rPr>
              <w:t>​​ ​ ​</w:t>
            </w:r>
          </w:p>
        </w:tc>
        <w:tc>
          <w:tcPr>
            <w:tcW w:w="700" w:type="dxa"/>
            <w:vAlign w:val="bottom"/>
            <w:shd w:val="clear" w:color="auto" w:fill="E5E5E5"/>
          </w:tcPr>
          <w:p>
            <w:pPr>
              <w:jc w:val="right"/>
              <w:ind w:right="133"/>
              <w:spacing w:after="0" w:line="54" w:lineRule="exact"/>
              <w:rPr>
                <w:sz w:val="20"/>
                <w:szCs w:val="20"/>
                <w:color w:val="auto"/>
              </w:rPr>
            </w:pPr>
            <w:r>
              <w:rPr>
                <w:rFonts w:ascii="Arial" w:cs="Arial" w:eastAsia="Arial" w:hAnsi="Arial"/>
                <w:sz w:val="5"/>
                <w:szCs w:val="5"/>
                <w:color w:val="auto"/>
              </w:rPr>
              <w:t>​​ ​</w:t>
            </w:r>
          </w:p>
        </w:tc>
        <w:tc>
          <w:tcPr>
            <w:tcW w:w="820" w:type="dxa"/>
            <w:vAlign w:val="bottom"/>
            <w:shd w:val="clear" w:color="auto" w:fill="E5E5E5"/>
          </w:tcPr>
          <w:p>
            <w:pPr>
              <w:ind w:left="160"/>
              <w:spacing w:after="0" w:line="54" w:lineRule="exact"/>
              <w:rPr>
                <w:sz w:val="20"/>
                <w:szCs w:val="20"/>
                <w:color w:val="auto"/>
              </w:rPr>
            </w:pPr>
            <w:r>
              <w:rPr>
                <w:rFonts w:ascii="Arial" w:cs="Arial" w:eastAsia="Arial" w:hAnsi="Arial"/>
                <w:sz w:val="5"/>
                <w:szCs w:val="5"/>
                <w:color w:val="auto"/>
              </w:rPr>
              <w:t>​</w:t>
            </w:r>
          </w:p>
        </w:tc>
        <w:tc>
          <w:tcPr>
            <w:tcW w:w="12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-436245</wp:posOffset>
            </wp:positionV>
            <wp:extent cx="2854325" cy="291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54325" cy="29146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3" w:lineRule="exact"/>
        <w:rPr>
          <w:sz w:val="20"/>
          <w:szCs w:val="20"/>
          <w:color w:val="auto"/>
        </w:rPr>
      </w:pPr>
    </w:p>
    <w:p>
      <w:pPr>
        <w:ind w:left="1000" w:hanging="197"/>
        <w:spacing w:after="0"/>
        <w:tabs>
          <w:tab w:leader="none" w:pos="10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Plus: Debt refinancing charges</w:t>
      </w:r>
    </w:p>
    <w:p>
      <w:pPr>
        <w:spacing w:after="0" w:line="70" w:lineRule="exact"/>
        <w:rPr>
          <w:rFonts w:ascii="Arial" w:cs="Arial" w:eastAsia="Arial" w:hAnsi="Arial"/>
          <w:sz w:val="15"/>
          <w:szCs w:val="15"/>
          <w:color w:val="auto"/>
        </w:rPr>
      </w:pPr>
    </w:p>
    <w:p>
      <w:pPr>
        <w:ind w:left="1000" w:hanging="197"/>
        <w:spacing w:after="0"/>
        <w:tabs>
          <w:tab w:leader="none" w:pos="10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Plus: Interest, net</w:t>
      </w:r>
    </w:p>
    <w:p>
      <w:pPr>
        <w:spacing w:after="0" w:line="54" w:lineRule="exact"/>
        <w:rPr>
          <w:rFonts w:ascii="Arial" w:cs="Arial" w:eastAsia="Arial" w:hAnsi="Arial"/>
          <w:sz w:val="15"/>
          <w:szCs w:val="15"/>
          <w:color w:val="auto"/>
        </w:rPr>
      </w:pPr>
    </w:p>
    <w:p>
      <w:pPr>
        <w:ind w:left="1000" w:hanging="197"/>
        <w:spacing w:after="0" w:line="180" w:lineRule="auto"/>
        <w:tabs>
          <w:tab w:leader="none" w:pos="1000" w:val="left"/>
        </w:tabs>
        <w:numPr>
          <w:ilvl w:val="0"/>
          <w:numId w:val="111"/>
        </w:numPr>
        <w:rPr>
          <w:rFonts w:ascii="Arial" w:cs="Arial" w:eastAsia="Arial" w:hAnsi="Arial"/>
          <w:sz w:val="25"/>
          <w:szCs w:val="25"/>
          <w:color w:val="auto"/>
          <w:vertAlign w:val="subscript"/>
        </w:rPr>
      </w:pPr>
      <w:r>
        <w:rPr>
          <w:rFonts w:ascii="Arial" w:cs="Arial" w:eastAsia="Arial" w:hAnsi="Arial"/>
          <w:sz w:val="13"/>
          <w:szCs w:val="13"/>
          <w:color w:val="auto"/>
        </w:rPr>
        <w:t>Plus: Income tax expense</w:t>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​Operating profit (loss)</w:t>
      </w:r>
    </w:p>
    <w:p>
      <w:pPr>
        <w:spacing w:after="0" w:line="71" w:lineRule="exact"/>
        <w:rPr>
          <w:sz w:val="20"/>
          <w:szCs w:val="20"/>
          <w:color w:val="auto"/>
        </w:rPr>
      </w:pPr>
    </w:p>
    <w:p>
      <w:pPr>
        <w:ind w:left="1000" w:hanging="197"/>
        <w:spacing w:after="0"/>
        <w:tabs>
          <w:tab w:leader="none" w:pos="10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Plus: Amortization, Depreciation</w:t>
      </w:r>
    </w:p>
    <w:p>
      <w:pPr>
        <w:spacing w:after="0" w:line="54" w:lineRule="exact"/>
        <w:rPr>
          <w:rFonts w:ascii="Arial" w:cs="Arial" w:eastAsia="Arial" w:hAnsi="Arial"/>
          <w:sz w:val="15"/>
          <w:szCs w:val="15"/>
          <w:color w:val="auto"/>
        </w:rPr>
      </w:pPr>
    </w:p>
    <w:p>
      <w:pPr>
        <w:ind w:left="1000" w:hanging="197"/>
        <w:spacing w:after="0" w:line="185" w:lineRule="auto"/>
        <w:tabs>
          <w:tab w:leader="none" w:pos="1000" w:val="left"/>
        </w:tabs>
        <w:numPr>
          <w:ilvl w:val="0"/>
          <w:numId w:val="112"/>
        </w:numPr>
        <w:rPr>
          <w:rFonts w:ascii="Arial" w:cs="Arial" w:eastAsia="Arial" w:hAnsi="Arial"/>
          <w:sz w:val="30"/>
          <w:szCs w:val="30"/>
          <w:color w:val="auto"/>
          <w:vertAlign w:val="subscript"/>
        </w:rPr>
      </w:pPr>
      <w:r>
        <w:rPr>
          <w:rFonts w:ascii="Arial" w:cs="Arial" w:eastAsia="Arial" w:hAnsi="Arial"/>
          <w:sz w:val="15"/>
          <w:szCs w:val="15"/>
          <w:color w:val="auto"/>
        </w:rPr>
        <w:t>Plus: Special Items</w:t>
      </w:r>
      <w:r>
        <w:rPr>
          <w:rFonts w:ascii="Arial" w:cs="Arial" w:eastAsia="Arial" w:hAnsi="Arial"/>
          <w:sz w:val="18"/>
          <w:szCs w:val="18"/>
          <w:color w:val="auto"/>
          <w:vertAlign w:val="superscript"/>
        </w:rPr>
        <w:t>(1)</w:t>
      </w:r>
    </w:p>
    <w:p>
      <w:pPr>
        <w:spacing w:after="0" w:line="6" w:lineRule="exact"/>
        <w:rPr>
          <w:rFonts w:ascii="Arial" w:cs="Arial" w:eastAsia="Arial" w:hAnsi="Arial"/>
          <w:sz w:val="30"/>
          <w:szCs w:val="30"/>
          <w:color w:val="auto"/>
          <w:vertAlign w:val="subscript"/>
        </w:rPr>
      </w:pPr>
    </w:p>
    <w:p>
      <w:pPr>
        <w:ind w:left="1140" w:hanging="337"/>
        <w:spacing w:after="0"/>
        <w:tabs>
          <w:tab w:leader="none" w:pos="11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Acima equity consideration vesting</w:t>
      </w:r>
    </w:p>
    <w:p>
      <w:pPr>
        <w:spacing w:after="0" w:line="54" w:lineRule="exact"/>
        <w:rPr>
          <w:rFonts w:ascii="Arial" w:cs="Arial" w:eastAsia="Arial" w:hAnsi="Arial"/>
          <w:sz w:val="15"/>
          <w:szCs w:val="15"/>
          <w:color w:val="auto"/>
        </w:rPr>
      </w:pPr>
    </w:p>
    <w:p>
      <w:pPr>
        <w:ind w:left="1140" w:hanging="337"/>
        <w:spacing w:after="0" w:line="185" w:lineRule="auto"/>
        <w:tabs>
          <w:tab w:leader="none" w:pos="1140" w:val="left"/>
        </w:tabs>
        <w:numPr>
          <w:ilvl w:val="0"/>
          <w:numId w:val="112"/>
        </w:numPr>
        <w:rPr>
          <w:rFonts w:ascii="Arial" w:cs="Arial" w:eastAsia="Arial" w:hAnsi="Arial"/>
          <w:sz w:val="30"/>
          <w:szCs w:val="30"/>
          <w:color w:val="auto"/>
          <w:vertAlign w:val="subscript"/>
        </w:rPr>
      </w:pPr>
      <w:r>
        <w:rPr>
          <w:rFonts w:ascii="Arial" w:cs="Arial" w:eastAsia="Arial" w:hAnsi="Arial"/>
          <w:sz w:val="15"/>
          <w:szCs w:val="15"/>
          <w:color w:val="auto"/>
        </w:rPr>
        <w:t>Acima acquired assets depreciation and amortization</w:t>
      </w:r>
      <w:r>
        <w:rPr>
          <w:rFonts w:ascii="Arial" w:cs="Arial" w:eastAsia="Arial" w:hAnsi="Arial"/>
          <w:sz w:val="18"/>
          <w:szCs w:val="18"/>
          <w:color w:val="auto"/>
          <w:vertAlign w:val="superscript"/>
        </w:rPr>
        <w:t>(2)</w:t>
      </w:r>
    </w:p>
    <w:p>
      <w:pPr>
        <w:spacing w:after="0" w:line="6" w:lineRule="exact"/>
        <w:rPr>
          <w:rFonts w:ascii="Arial" w:cs="Arial" w:eastAsia="Arial" w:hAnsi="Arial"/>
          <w:sz w:val="30"/>
          <w:szCs w:val="30"/>
          <w:color w:val="auto"/>
          <w:vertAlign w:val="subscript"/>
        </w:rPr>
      </w:pPr>
    </w:p>
    <w:p>
      <w:pPr>
        <w:ind w:left="1140" w:hanging="337"/>
        <w:spacing w:after="0"/>
        <w:tabs>
          <w:tab w:leader="none" w:pos="11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Acima transaction costs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Legal settlement reserves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Acima integration costs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Hurricane impacts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Store closure costs</w:t>
      </w:r>
    </w:p>
    <w:p>
      <w:pPr>
        <w:spacing w:after="0" w:line="70" w:lineRule="exact"/>
        <w:rPr>
          <w:rFonts w:ascii="Arial" w:cs="Arial" w:eastAsia="Arial" w:hAnsi="Arial"/>
          <w:sz w:val="15"/>
          <w:szCs w:val="15"/>
          <w:color w:val="auto"/>
        </w:rPr>
      </w:pPr>
    </w:p>
    <w:p>
      <w:pPr>
        <w:ind w:left="1140" w:hanging="337"/>
        <w:spacing w:after="0"/>
        <w:tabs>
          <w:tab w:leader="none" w:pos="11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COVID-19 testing</w:t>
      </w:r>
    </w:p>
    <w:p>
      <w:pPr>
        <w:spacing w:after="0" w:line="54" w:lineRule="exact"/>
        <w:rPr>
          <w:rFonts w:ascii="Arial" w:cs="Arial" w:eastAsia="Arial" w:hAnsi="Arial"/>
          <w:sz w:val="15"/>
          <w:szCs w:val="15"/>
          <w:color w:val="auto"/>
        </w:rPr>
      </w:pPr>
    </w:p>
    <w:p>
      <w:pPr>
        <w:ind w:left="1140" w:hanging="337"/>
        <w:spacing w:after="0" w:line="180" w:lineRule="auto"/>
        <w:tabs>
          <w:tab w:leader="none" w:pos="1140" w:val="left"/>
        </w:tabs>
        <w:numPr>
          <w:ilvl w:val="0"/>
          <w:numId w:val="112"/>
        </w:numPr>
        <w:rPr>
          <w:rFonts w:ascii="Arial" w:cs="Arial" w:eastAsia="Arial" w:hAnsi="Arial"/>
          <w:sz w:val="25"/>
          <w:szCs w:val="25"/>
          <w:color w:val="auto"/>
          <w:vertAlign w:val="subscript"/>
        </w:rPr>
      </w:pPr>
      <w:r>
        <w:rPr>
          <w:rFonts w:ascii="Arial" w:cs="Arial" w:eastAsia="Arial" w:hAnsi="Arial"/>
          <w:sz w:val="13"/>
          <w:szCs w:val="13"/>
          <w:color w:val="auto"/>
        </w:rPr>
        <w:t>State tax audit assessment reserve</w:t>
      </w:r>
    </w:p>
    <w:p>
      <w:pPr>
        <w:ind w:left="800"/>
        <w:spacing w:after="0" w:line="223"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Adjusted EBITDA</w:t>
      </w:r>
      <w:r>
        <w:rPr>
          <w:rFonts w:ascii="Arial" w:cs="Arial" w:eastAsia="Arial" w:hAnsi="Arial"/>
          <w:sz w:val="19"/>
          <w:szCs w:val="19"/>
          <w:color w:val="auto"/>
          <w:vertAlign w:val="superscript"/>
        </w:rPr>
        <w:t>(3)</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​Plus: Annual cash incentive</w:t>
      </w:r>
    </w:p>
    <w:p>
      <w:pPr>
        <w:ind w:left="800"/>
        <w:spacing w:after="0" w:line="223"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Plus: Stock-based compensation</w:t>
      </w:r>
      <w:r>
        <w:rPr>
          <w:rFonts w:ascii="Arial" w:cs="Arial" w:eastAsia="Arial" w:hAnsi="Arial"/>
          <w:sz w:val="19"/>
          <w:szCs w:val="19"/>
          <w:color w:val="auto"/>
          <w:vertAlign w:val="superscript"/>
        </w:rPr>
        <w:t>(4)</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15,582​​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15,582​​</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70,653​​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70,653​​</w:t>
            </w:r>
          </w:p>
        </w:tc>
        <w:tc>
          <w:tcPr>
            <w:tcW w:w="0" w:type="dxa"/>
            <w:vAlign w:val="bottom"/>
          </w:tcPr>
          <w:p>
            <w:pPr>
              <w:spacing w:after="0"/>
              <w:rPr>
                <w:sz w:val="1"/>
                <w:szCs w:val="1"/>
                <w:color w:val="auto"/>
              </w:rPr>
            </w:pPr>
          </w:p>
        </w:tc>
      </w:tr>
      <w:tr>
        <w:trPr>
          <w:trHeight w:val="235"/>
        </w:trPr>
        <w:tc>
          <w:tcPr>
            <w:tcW w:w="340" w:type="dxa"/>
            <w:vAlign w:val="bottom"/>
            <w:gridSpan w:val="3"/>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72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2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0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80" w:type="dxa"/>
            <w:vAlign w:val="bottom"/>
          </w:tcPr>
          <w:p>
            <w:pPr>
              <w:jc w:val="right"/>
              <w:ind w:right="87"/>
              <w:spacing w:after="0" w:line="236" w:lineRule="exact"/>
              <w:rPr>
                <w:sz w:val="20"/>
                <w:szCs w:val="20"/>
                <w:color w:val="auto"/>
              </w:rPr>
            </w:pPr>
            <w:r>
              <w:rPr>
                <w:rFonts w:ascii="Arial" w:cs="Arial" w:eastAsia="Arial" w:hAnsi="Arial"/>
                <w:sz w:val="14"/>
                <w:szCs w:val="14"/>
                <w:color w:val="auto"/>
              </w:rPr>
              <w:t>59,364</w:t>
            </w:r>
            <w:r>
              <w:rPr>
                <w:rFonts w:ascii="Arial" w:cs="Arial" w:eastAsia="Arial" w:hAnsi="Arial"/>
                <w:sz w:val="27"/>
                <w:szCs w:val="27"/>
                <w:color w:val="auto"/>
                <w:vertAlign w:val="subscript"/>
              </w:rPr>
              <w:t>​​ ​</w:t>
            </w:r>
          </w:p>
        </w:tc>
        <w:tc>
          <w:tcPr>
            <w:tcW w:w="94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 59,364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gridSpan w:val="2"/>
            <w:vMerge w:val="restart"/>
          </w:tcPr>
          <w:p>
            <w:pPr>
              <w:spacing w:after="0"/>
              <w:rPr>
                <w:sz w:val="20"/>
                <w:szCs w:val="20"/>
                <w:color w:val="auto"/>
              </w:rPr>
            </w:pPr>
            <w:r>
              <w:rPr>
                <w:rFonts w:ascii="Arial" w:cs="Arial" w:eastAsia="Arial" w:hAnsi="Arial"/>
                <w:sz w:val="15"/>
                <w:szCs w:val="15"/>
                <w:color w:val="auto"/>
              </w:rPr>
              <w:t>​ ​​</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​176,496</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ind w:right="67"/>
              <w:spacing w:after="0"/>
              <w:rPr>
                <w:sz w:val="20"/>
                <w:szCs w:val="20"/>
                <w:color w:val="auto"/>
              </w:rPr>
            </w:pPr>
            <w:r>
              <w:rPr>
                <w:rFonts w:ascii="Arial" w:cs="Arial" w:eastAsia="Arial" w:hAnsi="Arial"/>
                <w:sz w:val="15"/>
                <w:szCs w:val="15"/>
                <w:color w:val="auto"/>
              </w:rPr>
              <w:t>​469,226</w:t>
            </w: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​7,858</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1000" w:type="dxa"/>
            <w:vAlign w:val="bottom"/>
            <w:gridSpan w:val="2"/>
          </w:tcPr>
          <w:p>
            <w:pPr>
              <w:jc w:val="right"/>
              <w:ind w:right="227"/>
              <w:spacing w:after="0"/>
              <w:rPr>
                <w:sz w:val="20"/>
                <w:szCs w:val="20"/>
                <w:color w:val="auto"/>
              </w:rPr>
            </w:pPr>
            <w:r>
              <w:rPr>
                <w:rFonts w:ascii="Arial" w:cs="Arial" w:eastAsia="Arial" w:hAnsi="Arial"/>
                <w:sz w:val="15"/>
                <w:szCs w:val="15"/>
                <w:color w:val="auto"/>
              </w:rPr>
              <w:t>​(373,041)</w:t>
            </w: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51"/>
              <w:spacing w:after="0"/>
              <w:rPr>
                <w:sz w:val="20"/>
                <w:szCs w:val="20"/>
                <w:color w:val="auto"/>
              </w:rPr>
            </w:pPr>
            <w:r>
              <w:rPr>
                <w:rFonts w:ascii="Arial" w:cs="Arial" w:eastAsia="Arial" w:hAnsi="Arial"/>
                <w:sz w:val="15"/>
                <w:szCs w:val="15"/>
                <w:color w:val="auto"/>
              </w:rPr>
              <w:t>​280,539</w:t>
            </w:r>
          </w:p>
        </w:tc>
        <w:tc>
          <w:tcPr>
            <w:tcW w:w="0" w:type="dxa"/>
            <w:vAlign w:val="bottom"/>
          </w:tcPr>
          <w:p>
            <w:pPr>
              <w:spacing w:after="0"/>
              <w:rPr>
                <w:sz w:val="1"/>
                <w:szCs w:val="1"/>
                <w:color w:val="auto"/>
              </w:rPr>
            </w:pPr>
          </w:p>
        </w:tc>
      </w:tr>
      <w:tr>
        <w:trPr>
          <w:trHeight w:val="91"/>
        </w:trPr>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jc w:val="right"/>
              <w:ind w:right="87"/>
              <w:spacing w:after="0" w:line="91" w:lineRule="exact"/>
              <w:rPr>
                <w:sz w:val="20"/>
                <w:szCs w:val="20"/>
                <w:color w:val="auto"/>
              </w:rPr>
            </w:pPr>
            <w:r>
              <w:rPr>
                <w:rFonts w:ascii="Arial" w:cs="Arial" w:eastAsia="Arial" w:hAnsi="Arial"/>
                <w:sz w:val="10"/>
                <w:szCs w:val="10"/>
                <w:color w:val="auto"/>
              </w:rPr>
              <w:t>​​ ​</w:t>
            </w:r>
          </w:p>
        </w:tc>
        <w:tc>
          <w:tcPr>
            <w:tcW w:w="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1440" w:type="dxa"/>
            <w:vAlign w:val="bottom"/>
            <w:gridSpan w:val="4"/>
          </w:tcPr>
          <w:p>
            <w:pPr>
              <w:jc w:val="right"/>
              <w:spacing w:after="0"/>
              <w:rPr>
                <w:sz w:val="20"/>
                <w:szCs w:val="20"/>
                <w:color w:val="auto"/>
              </w:rPr>
            </w:pPr>
            <w:r>
              <w:rPr>
                <w:rFonts w:ascii="Arial" w:cs="Arial" w:eastAsia="Arial" w:hAnsi="Arial"/>
                <w:sz w:val="15"/>
                <w:szCs w:val="15"/>
                <w:color w:val="auto"/>
              </w:rPr>
              <w:t>2,122​​ ​​ ​ 18,681​​</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511​​</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33,516​​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54,830​​</w:t>
            </w:r>
          </w:p>
        </w:tc>
        <w:tc>
          <w:tcPr>
            <w:tcW w:w="0" w:type="dxa"/>
            <w:vAlign w:val="bottom"/>
          </w:tcPr>
          <w:p>
            <w:pPr>
              <w:spacing w:after="0"/>
              <w:rPr>
                <w:sz w:val="1"/>
                <w:szCs w:val="1"/>
                <w:color w:val="auto"/>
              </w:rPr>
            </w:pPr>
          </w:p>
        </w:tc>
      </w:tr>
      <w:tr>
        <w:trPr>
          <w:trHeight w:val="25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4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3"/>
          </w:tcPr>
          <w:p>
            <w:pPr>
              <w:jc w:val="right"/>
              <w:ind w:right="87"/>
              <w:spacing w:after="0"/>
              <w:rPr>
                <w:sz w:val="20"/>
                <w:szCs w:val="20"/>
                <w:color w:val="auto"/>
              </w:rPr>
            </w:pPr>
            <w:r>
              <w:rPr>
                <w:rFonts w:ascii="Arial" w:cs="Arial" w:eastAsia="Arial" w:hAnsi="Arial"/>
                <w:sz w:val="15"/>
                <w:szCs w:val="15"/>
                <w:color w:val="auto"/>
              </w:rPr>
              <w:t>​ ​ ​127,060​​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​127,060​​</w:t>
            </w:r>
          </w:p>
        </w:tc>
        <w:tc>
          <w:tcPr>
            <w:tcW w:w="0" w:type="dxa"/>
            <w:vAlign w:val="bottom"/>
          </w:tcPr>
          <w:p>
            <w:pPr>
              <w:spacing w:after="0"/>
              <w:rPr>
                <w:sz w:val="1"/>
                <w:szCs w:val="1"/>
                <w:color w:val="auto"/>
              </w:rPr>
            </w:pPr>
          </w:p>
        </w:tc>
      </w:tr>
      <w:tr>
        <w:trPr>
          <w:trHeight w:val="257"/>
        </w:trPr>
        <w:tc>
          <w:tcPr>
            <w:tcW w:w="1060" w:type="dxa"/>
            <w:vAlign w:val="bottom"/>
            <w:gridSpan w:val="5"/>
          </w:tcPr>
          <w:p>
            <w:pPr>
              <w:spacing w:after="0"/>
              <w:rPr>
                <w:sz w:val="20"/>
                <w:szCs w:val="20"/>
                <w:color w:val="auto"/>
              </w:rPr>
            </w:pPr>
            <w:r>
              <w:rPr>
                <w:rFonts w:ascii="Arial" w:cs="Arial" w:eastAsia="Arial" w:hAnsi="Arial"/>
                <w:sz w:val="15"/>
                <w:szCs w:val="15"/>
                <w:color w:val="auto"/>
              </w:rPr>
              <w:t>​ ​​ ​ 87,455​​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13,239​​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​100,694​​</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17,680​​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17,680​​</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17,500​​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17,500​​</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6,849​​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14​​</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3,442​​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10,305​​</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148​​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1,276​​</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1,424​​</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528​​</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243"/>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293​​</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60"/>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35"/>
        </w:trPr>
        <w:tc>
          <w:tcPr>
            <w:tcW w:w="340" w:type="dxa"/>
            <w:vAlign w:val="bottom"/>
            <w:gridSpan w:val="3"/>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6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580" w:type="dxa"/>
            <w:vAlign w:val="bottom"/>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2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0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80" w:type="dxa"/>
            <w:vAlign w:val="bottom"/>
          </w:tcPr>
          <w:p>
            <w:pPr>
              <w:jc w:val="right"/>
              <w:ind w:right="87"/>
              <w:spacing w:after="0" w:line="236" w:lineRule="exact"/>
              <w:rPr>
                <w:sz w:val="20"/>
                <w:szCs w:val="20"/>
                <w:color w:val="auto"/>
              </w:rPr>
            </w:pPr>
            <w:r>
              <w:rPr>
                <w:rFonts w:ascii="Arial" w:cs="Arial" w:eastAsia="Arial" w:hAnsi="Arial"/>
                <w:sz w:val="14"/>
                <w:szCs w:val="14"/>
                <w:color w:val="auto"/>
              </w:rPr>
              <w:t>161</w:t>
            </w:r>
            <w:r>
              <w:rPr>
                <w:rFonts w:ascii="Arial" w:cs="Arial" w:eastAsia="Arial" w:hAnsi="Arial"/>
                <w:sz w:val="27"/>
                <w:szCs w:val="27"/>
                <w:color w:val="auto"/>
                <w:vertAlign w:val="subscript"/>
              </w:rPr>
              <w:t>​​ ​</w:t>
            </w:r>
          </w:p>
        </w:tc>
        <w:tc>
          <w:tcPr>
            <w:tcW w:w="380" w:type="dxa"/>
            <w:vAlign w:val="bottom"/>
            <w:gridSpan w:val="2"/>
          </w:tcPr>
          <w:p>
            <w:pPr>
              <w:ind w:left="16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560" w:type="dxa"/>
            <w:vAlign w:val="bottom"/>
          </w:tcPr>
          <w:p>
            <w:pPr>
              <w:jc w:val="right"/>
              <w:spacing w:after="0" w:line="236" w:lineRule="exact"/>
              <w:rPr>
                <w:sz w:val="20"/>
                <w:szCs w:val="20"/>
                <w:color w:val="auto"/>
              </w:rPr>
            </w:pPr>
            <w:r>
              <w:rPr>
                <w:rFonts w:ascii="Arial" w:cs="Arial" w:eastAsia="Arial" w:hAnsi="Arial"/>
                <w:sz w:val="14"/>
                <w:szCs w:val="14"/>
                <w:color w:val="auto"/>
              </w:rPr>
              <w:t>161</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$273,070</w:t>
            </w:r>
          </w:p>
        </w:tc>
        <w:tc>
          <w:tcPr>
            <w:tcW w:w="98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5"/>
                <w:szCs w:val="15"/>
                <w:color w:val="auto"/>
              </w:rPr>
              <w:t>$490,018</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$8,372</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gridSpan w:val="3"/>
          </w:tcPr>
          <w:p>
            <w:pPr>
              <w:jc w:val="right"/>
              <w:ind w:right="227"/>
              <w:spacing w:after="0"/>
              <w:rPr>
                <w:sz w:val="20"/>
                <w:szCs w:val="20"/>
                <w:color w:val="auto"/>
              </w:rPr>
            </w:pPr>
            <w:r>
              <w:rPr>
                <w:rFonts w:ascii="Arial" w:cs="Arial" w:eastAsia="Arial" w:hAnsi="Arial"/>
                <w:sz w:val="15"/>
                <w:szCs w:val="15"/>
                <w:color w:val="auto"/>
              </w:rPr>
              <w:t>$(160,443)</w:t>
            </w:r>
          </w:p>
        </w:tc>
        <w:tc>
          <w:tcPr>
            <w:tcW w:w="940" w:type="dxa"/>
            <w:vAlign w:val="bottom"/>
            <w:tcBorders>
              <w:top w:val="single" w:sz="8" w:color="auto"/>
            </w:tcBorders>
            <w:gridSpan w:val="3"/>
          </w:tcPr>
          <w:p>
            <w:pPr>
              <w:jc w:val="right"/>
              <w:ind w:right="51"/>
              <w:spacing w:after="0"/>
              <w:rPr>
                <w:sz w:val="20"/>
                <w:szCs w:val="20"/>
                <w:color w:val="auto"/>
              </w:rPr>
            </w:pPr>
            <w:r>
              <w:rPr>
                <w:rFonts w:ascii="Arial" w:cs="Arial" w:eastAsia="Arial" w:hAnsi="Arial"/>
                <w:sz w:val="15"/>
                <w:szCs w:val="15"/>
                <w:color w:val="auto"/>
              </w:rPr>
              <w:t>$ 611,017</w:t>
            </w:r>
          </w:p>
        </w:tc>
        <w:tc>
          <w:tcPr>
            <w:tcW w:w="0" w:type="dxa"/>
            <w:vAlign w:val="bottom"/>
          </w:tcPr>
          <w:p>
            <w:pPr>
              <w:spacing w:after="0"/>
              <w:rPr>
                <w:sz w:val="1"/>
                <w:szCs w:val="1"/>
                <w:color w:val="auto"/>
              </w:rPr>
            </w:pPr>
          </w:p>
        </w:tc>
      </w:tr>
      <w:tr>
        <w:trPr>
          <w:trHeight w:val="91"/>
        </w:trPr>
        <w:tc>
          <w:tcPr>
            <w:tcW w:w="220" w:type="dxa"/>
            <w:vAlign w:val="bottom"/>
            <w:gridSpan w:val="2"/>
          </w:tcPr>
          <w:p>
            <w:pPr>
              <w:spacing w:after="0" w:line="91"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00" w:type="dxa"/>
            <w:vAlign w:val="bottom"/>
          </w:tcPr>
          <w:p>
            <w:pPr>
              <w:ind w:left="20"/>
              <w:spacing w:after="0" w:line="91"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tcPr>
          <w:p>
            <w:pPr>
              <w:ind w:left="20"/>
              <w:spacing w:after="0" w:line="91"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7"/>
                <w:szCs w:val="7"/>
                <w:color w:val="auto"/>
              </w:rPr>
            </w:pPr>
          </w:p>
        </w:tc>
        <w:tc>
          <w:tcPr>
            <w:tcW w:w="880" w:type="dxa"/>
            <w:vAlign w:val="bottom"/>
          </w:tcPr>
          <w:p>
            <w:pPr>
              <w:jc w:val="right"/>
              <w:ind w:right="87"/>
              <w:spacing w:after="0" w:line="91" w:lineRule="exact"/>
              <w:rPr>
                <w:sz w:val="20"/>
                <w:szCs w:val="20"/>
                <w:color w:val="auto"/>
              </w:rPr>
            </w:pPr>
            <w:r>
              <w:rPr>
                <w:rFonts w:ascii="Arial" w:cs="Arial" w:eastAsia="Arial" w:hAnsi="Arial"/>
                <w:sz w:val="10"/>
                <w:szCs w:val="10"/>
                <w:color w:val="auto"/>
              </w:rPr>
              <w:t>​​ ​</w:t>
            </w:r>
          </w:p>
        </w:tc>
        <w:tc>
          <w:tcPr>
            <w:tcW w:w="240" w:type="dxa"/>
            <w:vAlign w:val="bottom"/>
          </w:tcPr>
          <w:p>
            <w:pPr>
              <w:ind w:left="160"/>
              <w:spacing w:after="0" w:line="91"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7"/>
        </w:trPr>
        <w:tc>
          <w:tcPr>
            <w:tcW w:w="340" w:type="dxa"/>
            <w:vAlign w:val="bottom"/>
            <w:gridSpan w:val="3"/>
          </w:tcPr>
          <w:p>
            <w:pPr>
              <w:spacing w:after="0"/>
              <w:rPr>
                <w:sz w:val="20"/>
                <w:szCs w:val="20"/>
                <w:color w:val="auto"/>
              </w:rPr>
            </w:pPr>
            <w:r>
              <w:rPr>
                <w:rFonts w:ascii="Arial" w:cs="Arial" w:eastAsia="Arial" w:hAnsi="Arial"/>
                <w:sz w:val="15"/>
                <w:szCs w:val="15"/>
                <w:color w:val="auto"/>
              </w:rPr>
              <w:t>​ ​​ ​</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 ​​ ​</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 ​ ​</w:t>
            </w:r>
          </w:p>
        </w:tc>
        <w:tc>
          <w:tcPr>
            <w:tcW w:w="880" w:type="dxa"/>
            <w:vAlign w:val="bottom"/>
          </w:tcPr>
          <w:p>
            <w:pPr>
              <w:jc w:val="right"/>
              <w:ind w:right="87"/>
              <w:spacing w:after="0"/>
              <w:rPr>
                <w:sz w:val="20"/>
                <w:szCs w:val="20"/>
                <w:color w:val="auto"/>
              </w:rPr>
            </w:pPr>
            <w:r>
              <w:rPr>
                <w:rFonts w:ascii="Arial" w:cs="Arial" w:eastAsia="Arial" w:hAnsi="Arial"/>
                <w:sz w:val="15"/>
                <w:szCs w:val="15"/>
                <w:color w:val="auto"/>
              </w:rPr>
              <w:t>11,412​​ ​</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 ​ 11,412​​</w:t>
            </w:r>
          </w:p>
        </w:tc>
        <w:tc>
          <w:tcPr>
            <w:tcW w:w="0" w:type="dxa"/>
            <w:vAlign w:val="bottom"/>
          </w:tcPr>
          <w:p>
            <w:pPr>
              <w:spacing w:after="0"/>
              <w:rPr>
                <w:sz w:val="1"/>
                <w:szCs w:val="1"/>
                <w:color w:val="auto"/>
              </w:rPr>
            </w:pPr>
          </w:p>
        </w:tc>
      </w:tr>
      <w:tr>
        <w:trPr>
          <w:trHeight w:val="236"/>
        </w:trPr>
        <w:tc>
          <w:tcPr>
            <w:tcW w:w="340" w:type="dxa"/>
            <w:vAlign w:val="bottom"/>
            <w:gridSpan w:val="3"/>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6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580" w:type="dxa"/>
            <w:vAlign w:val="bottom"/>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2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30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880" w:type="dxa"/>
            <w:vAlign w:val="bottom"/>
          </w:tcPr>
          <w:p>
            <w:pPr>
              <w:jc w:val="right"/>
              <w:ind w:right="87"/>
              <w:spacing w:after="0" w:line="236" w:lineRule="exact"/>
              <w:rPr>
                <w:sz w:val="20"/>
                <w:szCs w:val="20"/>
                <w:color w:val="auto"/>
              </w:rPr>
            </w:pPr>
            <w:r>
              <w:rPr>
                <w:rFonts w:ascii="Arial" w:cs="Arial" w:eastAsia="Arial" w:hAnsi="Arial"/>
                <w:sz w:val="14"/>
                <w:szCs w:val="14"/>
                <w:color w:val="auto"/>
              </w:rPr>
              <w:t>20,497</w:t>
            </w:r>
            <w:r>
              <w:rPr>
                <w:rFonts w:ascii="Arial" w:cs="Arial" w:eastAsia="Arial" w:hAnsi="Arial"/>
                <w:sz w:val="27"/>
                <w:szCs w:val="27"/>
                <w:color w:val="auto"/>
                <w:vertAlign w:val="subscript"/>
              </w:rPr>
              <w:t>​​ ​</w:t>
            </w:r>
          </w:p>
        </w:tc>
        <w:tc>
          <w:tcPr>
            <w:tcW w:w="94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 20,497</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$273,070</w:t>
            </w:r>
          </w:p>
        </w:tc>
        <w:tc>
          <w:tcPr>
            <w:tcW w:w="98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5"/>
                <w:szCs w:val="15"/>
                <w:color w:val="auto"/>
              </w:rPr>
              <w:t>$490,018</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$8,372</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gridSpan w:val="3"/>
          </w:tcPr>
          <w:p>
            <w:pPr>
              <w:jc w:val="right"/>
              <w:ind w:right="227"/>
              <w:spacing w:after="0"/>
              <w:rPr>
                <w:sz w:val="20"/>
                <w:szCs w:val="20"/>
                <w:color w:val="auto"/>
              </w:rPr>
            </w:pPr>
            <w:r>
              <w:rPr>
                <w:rFonts w:ascii="Arial" w:cs="Arial" w:eastAsia="Arial" w:hAnsi="Arial"/>
                <w:sz w:val="15"/>
                <w:szCs w:val="15"/>
                <w:color w:val="auto"/>
              </w:rPr>
              <w:t>$(128,534)</w:t>
            </w:r>
          </w:p>
        </w:tc>
        <w:tc>
          <w:tcPr>
            <w:tcW w:w="940" w:type="dxa"/>
            <w:vAlign w:val="bottom"/>
            <w:tcBorders>
              <w:top w:val="single" w:sz="8" w:color="auto"/>
            </w:tcBorders>
            <w:gridSpan w:val="3"/>
          </w:tcPr>
          <w:p>
            <w:pPr>
              <w:jc w:val="right"/>
              <w:ind w:right="51"/>
              <w:spacing w:after="0"/>
              <w:rPr>
                <w:sz w:val="20"/>
                <w:szCs w:val="20"/>
                <w:color w:val="auto"/>
              </w:rPr>
            </w:pPr>
            <w:r>
              <w:rPr>
                <w:rFonts w:ascii="Arial" w:cs="Arial" w:eastAsia="Arial" w:hAnsi="Arial"/>
                <w:sz w:val="15"/>
                <w:szCs w:val="15"/>
                <w:color w:val="auto"/>
              </w:rPr>
              <w:t>$642,926</w:t>
            </w:r>
          </w:p>
        </w:tc>
        <w:tc>
          <w:tcPr>
            <w:tcW w:w="0" w:type="dxa"/>
            <w:vAlign w:val="bottom"/>
          </w:tcPr>
          <w:p>
            <w:pPr>
              <w:spacing w:after="0"/>
              <w:rPr>
                <w:sz w:val="1"/>
                <w:szCs w:val="1"/>
                <w:color w:val="auto"/>
              </w:rPr>
            </w:pPr>
          </w:p>
        </w:tc>
      </w:tr>
      <w:tr>
        <w:trPr>
          <w:trHeight w:val="167"/>
        </w:trPr>
        <w:tc>
          <w:tcPr>
            <w:tcW w:w="220" w:type="dxa"/>
            <w:vAlign w:val="bottom"/>
            <w:gridSpan w:val="2"/>
          </w:tcPr>
          <w:p>
            <w:pPr>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 ​​</w:t>
            </w:r>
          </w:p>
        </w:tc>
        <w:tc>
          <w:tcPr>
            <w:tcW w:w="140" w:type="dxa"/>
            <w:vAlign w:val="bottom"/>
          </w:tcPr>
          <w:p>
            <w:pPr>
              <w:spacing w:after="0"/>
              <w:rPr>
                <w:sz w:val="14"/>
                <w:szCs w:val="14"/>
                <w:color w:val="auto"/>
              </w:rPr>
            </w:pPr>
          </w:p>
        </w:tc>
        <w:tc>
          <w:tcPr>
            <w:tcW w:w="5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200" w:type="dxa"/>
            <w:vAlign w:val="bottom"/>
          </w:tcPr>
          <w:p>
            <w:pPr>
              <w:ind w:left="20"/>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ind w:left="20"/>
              <w:spacing w:after="0" w:line="167"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880" w:type="dxa"/>
            <w:vAlign w:val="bottom"/>
          </w:tcPr>
          <w:p>
            <w:pPr>
              <w:jc w:val="right"/>
              <w:ind w:right="87"/>
              <w:spacing w:after="0" w:line="167" w:lineRule="exact"/>
              <w:rPr>
                <w:sz w:val="20"/>
                <w:szCs w:val="20"/>
                <w:color w:val="auto"/>
              </w:rPr>
            </w:pPr>
            <w:r>
              <w:rPr>
                <w:rFonts w:ascii="Arial" w:cs="Arial" w:eastAsia="Arial" w:hAnsi="Arial"/>
                <w:sz w:val="15"/>
                <w:szCs w:val="15"/>
                <w:color w:val="auto"/>
              </w:rPr>
              <w:t>​​ ​</w:t>
            </w:r>
          </w:p>
        </w:tc>
        <w:tc>
          <w:tcPr>
            <w:tcW w:w="240" w:type="dxa"/>
            <w:vAlign w:val="bottom"/>
          </w:tcPr>
          <w:p>
            <w:pPr>
              <w:ind w:left="160"/>
              <w:spacing w:after="0" w:line="16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-2925445</wp:posOffset>
            </wp:positionV>
            <wp:extent cx="583755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-2291080</wp:posOffset>
            </wp:positionV>
            <wp:extent cx="5837555"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-1974215</wp:posOffset>
            </wp:positionV>
            <wp:extent cx="5837555"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-1656715</wp:posOffset>
            </wp:positionV>
            <wp:extent cx="583755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-1348105</wp:posOffset>
            </wp:positionV>
            <wp:extent cx="583755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-1039495</wp:posOffset>
            </wp:positionV>
            <wp:extent cx="5837555"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-71120</wp:posOffset>
            </wp:positionV>
            <wp:extent cx="58375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-396875</wp:posOffset>
            </wp:positionV>
            <wp:extent cx="5837555"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-722630</wp:posOffset>
            </wp:positionV>
            <wp:extent cx="5837555"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-2608580</wp:posOffset>
            </wp:positionV>
            <wp:extent cx="5837555"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37555"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60" w:space="440"/>
            <w:col w:w="4660"/>
          </w:cols>
          <w:pgMar w:left="580" w:top="97" w:right="1359" w:bottom="1440" w:gutter="0" w:footer="0" w:header="0"/>
          <w:type w:val="continuous"/>
        </w:sectPr>
      </w:pPr>
    </w:p>
    <w:p>
      <w:pPr>
        <w:ind w:left="1120" w:hanging="358"/>
        <w:spacing w:after="0"/>
        <w:tabs>
          <w:tab w:leader="none" w:pos="112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Special items are reported as Other Gains and Charges in the Company’s Consolidated Statements of Operations.</w:t>
      </w:r>
    </w:p>
    <w:p>
      <w:pPr>
        <w:spacing w:after="0" w:line="14" w:lineRule="exact"/>
        <w:rPr>
          <w:rFonts w:ascii="Arial" w:cs="Arial" w:eastAsia="Arial" w:hAnsi="Arial"/>
          <w:sz w:val="14"/>
          <w:szCs w:val="14"/>
          <w:i w:val="1"/>
          <w:iCs w:val="1"/>
          <w:color w:val="auto"/>
        </w:rPr>
      </w:pPr>
    </w:p>
    <w:p>
      <w:pPr>
        <w:jc w:val="both"/>
        <w:ind w:left="1120" w:hanging="358"/>
        <w:spacing w:after="0" w:line="267" w:lineRule="auto"/>
        <w:tabs>
          <w:tab w:leader="none" w:pos="112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amortization of approximately $101.7 million related to the total fair value of acquired intangible assets, incremental depreciation of approximately $13.2 million related to the fair value increase over net book value for acquired software assets, and a depreciation credit adjustment of approximately $(14.2) million related to a step-down of estimated fair value below net book value for acquired lease merchandise.</w:t>
      </w:r>
    </w:p>
    <w:p>
      <w:pPr>
        <w:ind w:left="1120" w:hanging="358"/>
        <w:spacing w:after="0"/>
        <w:tabs>
          <w:tab w:leader="none" w:pos="112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in our fourth quarter earnings press release furnished on February 24, 2022 on our Current Report on Form 8-K.</w:t>
      </w:r>
    </w:p>
    <w:p>
      <w:pPr>
        <w:spacing w:after="0" w:line="26"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Prior to 2022, we did not exclude stock compensation expense from our calculation of Adjusted EBITDA, as defined above.</w:t>
      </w:r>
    </w:p>
    <w:p>
      <w:pPr>
        <w:spacing w:after="0" w:line="14" w:lineRule="exact"/>
        <w:rPr>
          <w:rFonts w:ascii="Arial" w:cs="Arial" w:eastAsia="Arial" w:hAnsi="Arial"/>
          <w:sz w:val="14"/>
          <w:szCs w:val="14"/>
          <w:i w:val="1"/>
          <w:iCs w:val="1"/>
          <w:color w:val="auto"/>
        </w:rPr>
      </w:pPr>
    </w:p>
    <w:p>
      <w:pPr>
        <w:ind w:left="1120" w:hanging="358"/>
        <w:spacing w:after="0"/>
        <w:tabs>
          <w:tab w:leader="none" w:pos="112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As defined above and included in the above Pay Versus Performance tables and 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A-8</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19"/>
        <w:spacing w:after="0"/>
        <w:rPr>
          <w:sz w:val="20"/>
          <w:szCs w:val="20"/>
          <w:color w:val="auto"/>
        </w:rPr>
      </w:pPr>
      <w:r>
        <w:rPr>
          <w:rFonts w:ascii="Arial" w:cs="Arial" w:eastAsia="Arial" w:hAnsi="Arial"/>
          <w:sz w:val="36"/>
          <w:szCs w:val="36"/>
          <w:b w:val="1"/>
          <w:bCs w:val="1"/>
          <w:color w:val="auto"/>
        </w:rPr>
        <w:t>ANNEX B:</w:t>
      </w:r>
    </w:p>
    <w:p>
      <w:pPr>
        <w:spacing w:after="0" w:line="86" w:lineRule="exact"/>
        <w:rPr>
          <w:sz w:val="20"/>
          <w:szCs w:val="20"/>
          <w:color w:val="auto"/>
        </w:rPr>
      </w:pPr>
    </w:p>
    <w:p>
      <w:pPr>
        <w:jc w:val="center"/>
        <w:ind w:right="-739"/>
        <w:spacing w:after="0"/>
        <w:rPr>
          <w:sz w:val="20"/>
          <w:szCs w:val="20"/>
          <w:color w:val="auto"/>
        </w:rPr>
      </w:pPr>
      <w:r>
        <w:rPr>
          <w:rFonts w:ascii="Arial" w:cs="Arial" w:eastAsia="Arial" w:hAnsi="Arial"/>
          <w:sz w:val="36"/>
          <w:szCs w:val="36"/>
          <w:b w:val="1"/>
          <w:bCs w:val="1"/>
          <w:color w:val="auto"/>
        </w:rPr>
        <w:t>THE UPBOUND GROUP, INC. 2026 LONG-TERM</w:t>
      </w:r>
    </w:p>
    <w:p>
      <w:pPr>
        <w:spacing w:after="0" w:line="14" w:lineRule="exact"/>
        <w:rPr>
          <w:sz w:val="20"/>
          <w:szCs w:val="20"/>
          <w:color w:val="auto"/>
        </w:rPr>
      </w:pPr>
    </w:p>
    <w:p>
      <w:pPr>
        <w:jc w:val="center"/>
        <w:ind w:right="-819"/>
        <w:spacing w:after="0"/>
        <w:rPr>
          <w:sz w:val="20"/>
          <w:szCs w:val="20"/>
          <w:color w:val="auto"/>
        </w:rPr>
      </w:pPr>
      <w:r>
        <w:rPr>
          <w:rFonts w:ascii="Arial" w:cs="Arial" w:eastAsia="Arial" w:hAnsi="Arial"/>
          <w:sz w:val="36"/>
          <w:szCs w:val="36"/>
          <w:b w:val="1"/>
          <w:bCs w:val="1"/>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B: THE UPBOUND GROUP, INC. 2026 LONG-TERM INCENTIVE PLAN</w:t>
      </w:r>
    </w:p>
    <w:p>
      <w:pPr>
        <w:spacing w:after="0" w:line="36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UPBOUND GROUP, INC.</w:t>
      </w:r>
    </w:p>
    <w:p>
      <w:pPr>
        <w:spacing w:after="0" w:line="11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u w:val="single" w:color="auto"/>
          <w:color w:val="auto"/>
        </w:rPr>
        <w:t>2026 LONG-TERM INCENTIVE PLAN</w:t>
      </w:r>
    </w:p>
    <w:p>
      <w:pPr>
        <w:spacing w:after="0" w:line="149" w:lineRule="exact"/>
        <w:rPr>
          <w:sz w:val="20"/>
          <w:szCs w:val="20"/>
          <w:color w:val="auto"/>
        </w:rPr>
      </w:pPr>
    </w:p>
    <w:p>
      <w:pPr>
        <w:jc w:val="both"/>
        <w:ind w:left="760" w:firstLine="1082"/>
        <w:spacing w:after="0" w:line="252" w:lineRule="auto"/>
        <w:tabs>
          <w:tab w:leader="none" w:pos="215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Upbound Group, Inc. 2026 Long-Term Incentive Plan (as may be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is to foster the ability of Upbound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its subsidiaries to attract, motivate and retain key personnel and enhance stockholder value through the use of certain equity and cash incentive compensation opportunities. The Plan, as approved by the Company’s stockholders on June 2, 2026 (the “</w:t>
      </w:r>
      <w:r>
        <w:rPr>
          <w:rFonts w:ascii="Arial" w:cs="Arial" w:eastAsia="Arial" w:hAnsi="Arial"/>
          <w:sz w:val="16"/>
          <w:szCs w:val="16"/>
          <w:u w:val="single" w:color="auto"/>
          <w:color w:val="auto"/>
        </w:rPr>
        <w:t>Effective Date</w:t>
      </w:r>
      <w:r>
        <w:rPr>
          <w:rFonts w:ascii="Arial" w:cs="Arial" w:eastAsia="Arial" w:hAnsi="Arial"/>
          <w:sz w:val="16"/>
          <w:szCs w:val="16"/>
          <w:color w:val="auto"/>
        </w:rPr>
        <w:t>”), replaces the Upbound Group, Inc. Amended 2021 Long-Term Incentive Plan (the “</w:t>
      </w:r>
      <w:r>
        <w:rPr>
          <w:rFonts w:ascii="Arial" w:cs="Arial" w:eastAsia="Arial" w:hAnsi="Arial"/>
          <w:sz w:val="16"/>
          <w:szCs w:val="16"/>
          <w:u w:val="single" w:color="auto"/>
          <w:color w:val="auto"/>
        </w:rPr>
        <w:t>Prior Plan</w:t>
      </w:r>
      <w:r>
        <w:rPr>
          <w:rFonts w:ascii="Arial" w:cs="Arial" w:eastAsia="Arial" w:hAnsi="Arial"/>
          <w:sz w:val="16"/>
          <w:szCs w:val="16"/>
          <w:color w:val="auto"/>
        </w:rPr>
        <w:t>”) for Awards (as defined below) granted after the Effective Date. On the Effective Date, the Prior Plan terminated and no further awards will be granted thereunder; any awards that remain outstanding under the Prior Plan as of the Effective Date shall be settled under the Prior Plan, subject to their original terms and conditions.</w:t>
      </w:r>
    </w:p>
    <w:p>
      <w:pPr>
        <w:spacing w:after="0" w:line="115" w:lineRule="exact"/>
        <w:rPr>
          <w:rFonts w:ascii="Arial" w:cs="Arial" w:eastAsia="Arial" w:hAnsi="Arial"/>
          <w:sz w:val="16"/>
          <w:szCs w:val="16"/>
          <w:color w:val="auto"/>
        </w:rPr>
      </w:pPr>
    </w:p>
    <w:p>
      <w:pPr>
        <w:ind w:left="2120" w:hanging="278"/>
        <w:spacing w:after="0"/>
        <w:tabs>
          <w:tab w:leader="none" w:pos="212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760" w:firstLine="1352"/>
        <w:spacing w:after="0" w:line="286" w:lineRule="auto"/>
        <w:tabs>
          <w:tab w:leader="none" w:pos="2456"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will be administered by the compensation committee of the Company’s board of directors (the “</w:t>
      </w:r>
      <w:r>
        <w:rPr>
          <w:rFonts w:ascii="Arial" w:cs="Arial" w:eastAsia="Arial" w:hAnsi="Arial"/>
          <w:sz w:val="16"/>
          <w:szCs w:val="16"/>
          <w:u w:val="single" w:color="auto"/>
          <w:color w:val="auto"/>
        </w:rPr>
        <w:t>Committee</w:t>
      </w:r>
      <w:r>
        <w:rPr>
          <w:rFonts w:ascii="Arial" w:cs="Arial" w:eastAsia="Arial" w:hAnsi="Arial"/>
          <w:sz w:val="16"/>
          <w:szCs w:val="16"/>
          <w:color w:val="auto"/>
        </w:rPr>
        <w:t>”).</w:t>
      </w:r>
    </w:p>
    <w:p>
      <w:pPr>
        <w:spacing w:after="0" w:line="88" w:lineRule="exact"/>
        <w:rPr>
          <w:rFonts w:ascii="Arial" w:cs="Arial" w:eastAsia="Arial" w:hAnsi="Arial"/>
          <w:sz w:val="16"/>
          <w:szCs w:val="16"/>
          <w:color w:val="auto"/>
        </w:rPr>
      </w:pPr>
    </w:p>
    <w:p>
      <w:pPr>
        <w:jc w:val="both"/>
        <w:ind w:left="760" w:firstLine="1352"/>
        <w:spacing w:after="0" w:line="248" w:lineRule="auto"/>
        <w:tabs>
          <w:tab w:leader="none" w:pos="2443"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Responsibility and Authority of Committee</w:t>
      </w:r>
      <w:r>
        <w:rPr>
          <w:rFonts w:ascii="Arial" w:cs="Arial" w:eastAsia="Arial" w:hAnsi="Arial"/>
          <w:sz w:val="16"/>
          <w:szCs w:val="16"/>
          <w:color w:val="auto"/>
        </w:rPr>
        <w:t>. Subject to the provisions of the Plan, the Committee, acting in its discretion, will have responsibility and full power and authority to (i) select the persons to whom awards under the Plan (“</w:t>
      </w:r>
      <w:r>
        <w:rPr>
          <w:rFonts w:ascii="Arial" w:cs="Arial" w:eastAsia="Arial" w:hAnsi="Arial"/>
          <w:sz w:val="16"/>
          <w:szCs w:val="16"/>
          <w:u w:val="single" w:color="auto"/>
          <w:color w:val="auto"/>
        </w:rPr>
        <w:t>Awards</w:t>
      </w:r>
      <w:r>
        <w:rPr>
          <w:rFonts w:ascii="Arial" w:cs="Arial" w:eastAsia="Arial" w:hAnsi="Arial"/>
          <w:sz w:val="16"/>
          <w:szCs w:val="16"/>
          <w:color w:val="auto"/>
        </w:rPr>
        <w:t>”) will be made and when such Awards will be made, (ii) prescribe the types of Awards to be granted and the terms and conditions of each such Award and make amendments thereto, (iii) correct any defect, supply any omission and reconcile any inconsistency, construe, interpret and apply the provisions of the Plan and of any award agreement evidencing an Award hereunder (each, an “</w:t>
      </w:r>
      <w:r>
        <w:rPr>
          <w:rFonts w:ascii="Arial" w:cs="Arial" w:eastAsia="Arial" w:hAnsi="Arial"/>
          <w:sz w:val="16"/>
          <w:szCs w:val="16"/>
          <w:u w:val="single" w:color="auto"/>
          <w:color w:val="auto"/>
        </w:rPr>
        <w:t>Award Agreement</w:t>
      </w:r>
      <w:r>
        <w:rPr>
          <w:rFonts w:ascii="Arial" w:cs="Arial" w:eastAsia="Arial" w:hAnsi="Arial"/>
          <w:sz w:val="16"/>
          <w:szCs w:val="16"/>
          <w:color w:val="auto"/>
        </w:rPr>
        <w:t>”) or other document governing the terms of an Award made under the Plan and determine disputed facts related thereto; provided that, with respect to all claims or disputes arising out of any determination of the Committee that materially adversely affects an Award holder’s rights, (A) the affected holder shall file a written claim with the Committee for review, explaining the reasons for such claim and (B) the Committee’s decision must be written and must explain the decision, (iv) make any and all determinations and take any and all other actions as the Committee deems necessary or desirable in order to carry out the terms of the Plan and any Award, (v) prescribe, amend and rescind rules and regulations relating to the Plan, including rules governing the Committee’s own operations and rules applicable to Award holders, (vi) correct any defect, supply any omission and reconcile any inconsistency in the Plan, (vii) accelerate the time or times at which (A) an Award becomes vested, unrestricted or may be exercised or (B) shares of Common Stock (as defined below) are delivered under the Award, (viii) waive or amend any goals, restrictions, vesting provisions or conditions set forth in any Award Agreement, or impose new goals, restrictions, vesting provisions and conditions, (ix) determine whether, to what extent and under what circumstances and method or methods Awards may be settled in cash, Shares of Common Stock, other securities, other Awards or other Property, and (x) exercise all powers granted to the Committee under the Plan. Notwithstanding the foregoing,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will have sole responsibility and authority for matters relating to the grant and administration of Awards to non-employee directors, and reference herein to the Committee with respect to any such matters will be deemed to refer to the Board. In exercising its responsibilities under the Plan, the Committee may obtain at the Company’s expense such advice, guidance and other assistance from outside compensation consultants and other professional advisers as the Committee deems appropriate.</w:t>
      </w:r>
    </w:p>
    <w:p>
      <w:pPr>
        <w:spacing w:after="0" w:line="122" w:lineRule="exact"/>
        <w:rPr>
          <w:rFonts w:ascii="Arial" w:cs="Arial" w:eastAsia="Arial" w:hAnsi="Arial"/>
          <w:sz w:val="16"/>
          <w:szCs w:val="16"/>
          <w:color w:val="auto"/>
        </w:rPr>
      </w:pPr>
    </w:p>
    <w:p>
      <w:pPr>
        <w:jc w:val="both"/>
        <w:ind w:left="760" w:firstLine="1352"/>
        <w:spacing w:after="0" w:line="265" w:lineRule="auto"/>
        <w:tabs>
          <w:tab w:leader="none" w:pos="2488"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Subject to the requirements of applicable law, the Committee may delegate (either generally or specifically) to any person or group or subcommittee of persons (who may, but need not be, members of the Committee) such Plan-related functions within the scope of its responsibility, power and authority on such terms and conditions as it deems appropriate;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not delegate authority to grant or administer Awards granted to the Company’s senior executive officers. Except as specifically provided to the contrary, references to the Committee include any person or group or subcommittee of persons to whom the Committee has delegated its duties and powers.</w:t>
      </w:r>
    </w:p>
    <w:p>
      <w:pPr>
        <w:spacing w:after="0" w:line="104" w:lineRule="exact"/>
        <w:rPr>
          <w:rFonts w:ascii="Arial" w:cs="Arial" w:eastAsia="Arial" w:hAnsi="Arial"/>
          <w:sz w:val="16"/>
          <w:szCs w:val="16"/>
          <w:color w:val="auto"/>
        </w:rPr>
      </w:pPr>
    </w:p>
    <w:p>
      <w:pPr>
        <w:jc w:val="both"/>
        <w:ind w:left="760" w:firstLine="1352"/>
        <w:spacing w:after="0" w:line="264" w:lineRule="auto"/>
        <w:tabs>
          <w:tab w:leader="none" w:pos="2537"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Committee Actions</w:t>
      </w:r>
      <w:r>
        <w:rPr>
          <w:rFonts w:ascii="Arial" w:cs="Arial" w:eastAsia="Arial" w:hAnsi="Arial"/>
          <w:sz w:val="16"/>
          <w:szCs w:val="16"/>
          <w:color w:val="auto"/>
        </w:rPr>
        <w:t>. A majority of the members of the Committee shall constitute a quorum. The Committee may act by the vote of a majority of its members present at a meeting at which there is a quorum or by unanimous written consent. The decision of the Committee on all matters relating to the Plan or any Award Agreement, including as to any disputed question and any questions of construction, interpretation and administration, shall be entitled to the maximum deference permitted by law and shall be final, non-reviewable, non-appealable, binding and conclusive on all persons. The Committee shall keep a record of its proceedings and acts and shall keep or cause to be kept such books and records as may be necessary in connection with the proper administration of the Plan.</w:t>
      </w:r>
    </w:p>
    <w:p>
      <w:pPr>
        <w:spacing w:after="0" w:line="122" w:lineRule="exact"/>
        <w:rPr>
          <w:rFonts w:ascii="Arial" w:cs="Arial" w:eastAsia="Arial" w:hAnsi="Arial"/>
          <w:sz w:val="16"/>
          <w:szCs w:val="16"/>
          <w:color w:val="auto"/>
        </w:rPr>
      </w:pPr>
    </w:p>
    <w:p>
      <w:pPr>
        <w:jc w:val="both"/>
        <w:ind w:left="760" w:firstLine="1352"/>
        <w:spacing w:after="0" w:line="271" w:lineRule="auto"/>
        <w:tabs>
          <w:tab w:leader="none" w:pos="247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indemnify and hold harmless each member of the Committee or subcommittee appointed by the Committee and any employee or director of the Company or of a subsidiary to whom any duty or power relating to the administration or interpretation of the Plan is delegated from and against any loss, cost, liability (including any sum paid in settlement of a claim with the approval of the Board), damage and expense, including</w:t>
      </w:r>
    </w:p>
    <w:p>
      <w:pPr>
        <w:spacing w:after="0" w:line="200" w:lineRule="exact"/>
        <w:rPr>
          <w:sz w:val="20"/>
          <w:szCs w:val="20"/>
          <w:color w:val="auto"/>
        </w:rPr>
      </w:pPr>
    </w:p>
    <w:p>
      <w:pPr>
        <w:spacing w:after="0" w:line="229"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B-2</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4580"/>
        <w:spacing w:after="0" w:line="296" w:lineRule="auto"/>
        <w:rPr>
          <w:sz w:val="20"/>
          <w:szCs w:val="20"/>
          <w:color w:val="auto"/>
        </w:rPr>
      </w:pPr>
      <w:r>
        <w:rPr>
          <w:rFonts w:ascii="Arial" w:cs="Arial" w:eastAsia="Arial" w:hAnsi="Arial"/>
          <w:sz w:val="16"/>
          <w:szCs w:val="16"/>
          <w:b w:val="1"/>
          <w:bCs w:val="1"/>
          <w:color w:val="auto"/>
        </w:rPr>
        <w:t>ANNEX B: THE UPBOUND GROUP, INC. 2026 LONG-TERM INCENTIVE PLAN​ ​</w:t>
      </w:r>
    </w:p>
    <w:p>
      <w:pPr>
        <w:spacing w:after="0" w:line="100" w:lineRule="exact"/>
        <w:rPr>
          <w:sz w:val="20"/>
          <w:szCs w:val="20"/>
          <w:color w:val="auto"/>
        </w:rPr>
      </w:pPr>
    </w:p>
    <w:p>
      <w:pPr>
        <w:jc w:val="both"/>
        <w:ind w:left="760" w:right="40"/>
        <w:spacing w:after="0" w:line="254" w:lineRule="auto"/>
        <w:rPr>
          <w:sz w:val="20"/>
          <w:szCs w:val="20"/>
          <w:color w:val="auto"/>
        </w:rPr>
      </w:pPr>
      <w:r>
        <w:rPr>
          <w:rFonts w:ascii="Arial" w:cs="Arial" w:eastAsia="Arial" w:hAnsi="Arial"/>
          <w:sz w:val="16"/>
          <w:szCs w:val="16"/>
          <w:color w:val="auto"/>
        </w:rPr>
        <w:t>legal and other expenses incident thereto, arising out of or incurred in connection with such person’s services under the Plan, unless and except to the extent attributable to such person’s fraud or willful misconduct. The foregoing right of indemnification will not be exclusive of any other rights of indemnification to which such Committee member may otherwise be entitled under the Company’s organizational documents, pursuant to any individual indemnification agreements between such Committee member and the Company, as a matter of law, or otherwise, or any other power the Company may have to indemnify such persons or hold them harmless.</w:t>
      </w:r>
    </w:p>
    <w:p>
      <w:pPr>
        <w:spacing w:after="0" w:line="101" w:lineRule="exact"/>
        <w:rPr>
          <w:sz w:val="20"/>
          <w:szCs w:val="20"/>
          <w:color w:val="auto"/>
        </w:rPr>
      </w:pPr>
    </w:p>
    <w:p>
      <w:pPr>
        <w:ind w:left="760" w:right="60" w:firstLine="1082"/>
        <w:spacing w:after="0" w:line="286" w:lineRule="auto"/>
        <w:tabs>
          <w:tab w:leader="none" w:pos="217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Awards under the Plan may be made to any present or future directors, officers, employees, consultants and other personnel of the Company or a subsidiary.</w:t>
      </w:r>
    </w:p>
    <w:p>
      <w:pPr>
        <w:spacing w:after="0" w:line="88" w:lineRule="exact"/>
        <w:rPr>
          <w:rFonts w:ascii="Arial" w:cs="Arial" w:eastAsia="Arial" w:hAnsi="Arial"/>
          <w:sz w:val="16"/>
          <w:szCs w:val="16"/>
          <w:color w:val="auto"/>
        </w:rPr>
      </w:pPr>
    </w:p>
    <w:p>
      <w:pPr>
        <w:ind w:left="2120" w:hanging="278"/>
        <w:spacing w:after="0"/>
        <w:tabs>
          <w:tab w:leader="none" w:pos="212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Limitations on Plan Awards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760" w:right="40" w:firstLine="1352"/>
        <w:spacing w:after="0" w:line="265" w:lineRule="auto"/>
        <w:tabs>
          <w:tab w:leader="none" w:pos="247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Aggregate Share Limitations</w:t>
      </w:r>
      <w:r>
        <w:rPr>
          <w:rFonts w:ascii="Arial" w:cs="Arial" w:eastAsia="Arial" w:hAnsi="Arial"/>
          <w:sz w:val="16"/>
          <w:szCs w:val="16"/>
          <w:color w:val="auto"/>
        </w:rPr>
        <w:t>. The aggregate number of shares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that may be issued pursuant to Awards granted under the Plan shall not exceed 4,700,000 shares of Common Stock. Up to 4,700,000 shares of Common Stock (as adjusted pursuant to </w:t>
      </w:r>
      <w:r>
        <w:rPr>
          <w:rFonts w:ascii="Arial" w:cs="Arial" w:eastAsia="Arial" w:hAnsi="Arial"/>
          <w:sz w:val="16"/>
          <w:szCs w:val="16"/>
          <w:u w:val="single" w:color="auto"/>
          <w:color w:val="auto"/>
        </w:rPr>
        <w:t>Section 13 below</w:t>
      </w:r>
      <w:r>
        <w:rPr>
          <w:rFonts w:ascii="Arial" w:cs="Arial" w:eastAsia="Arial" w:hAnsi="Arial"/>
          <w:sz w:val="16"/>
          <w:szCs w:val="16"/>
          <w:color w:val="auto"/>
        </w:rPr>
        <w:t>) may</w:t>
      </w:r>
    </w:p>
    <w:p>
      <w:pPr>
        <w:jc w:val="both"/>
        <w:ind w:left="760" w:right="40"/>
        <w:spacing w:after="0" w:line="262" w:lineRule="auto"/>
        <w:rPr>
          <w:rFonts w:ascii="Arial" w:cs="Arial" w:eastAsia="Arial" w:hAnsi="Arial"/>
          <w:sz w:val="16"/>
          <w:szCs w:val="16"/>
          <w:color w:val="auto"/>
        </w:rPr>
      </w:pPr>
      <w:r>
        <w:rPr>
          <w:rFonts w:ascii="Arial" w:cs="Arial" w:eastAsia="Arial" w:hAnsi="Arial"/>
          <w:sz w:val="16"/>
          <w:szCs w:val="16"/>
          <w:color w:val="auto"/>
        </w:rPr>
        <w:t>be issued under the Plan covering a stock option granted as an “incentive stock option” (within​ the meaning of Section 422 of the Internal Revenue Code of 1986). Shares of Common Stock subject to awards that are assumed, converted or substituted under the Plan as a result of the Company’s acquisition of another company (including by way of merger, combination or similar transaction) (the “</w:t>
      </w:r>
      <w:r>
        <w:rPr>
          <w:rFonts w:ascii="Arial" w:cs="Arial" w:eastAsia="Arial" w:hAnsi="Arial"/>
          <w:sz w:val="16"/>
          <w:szCs w:val="16"/>
          <w:u w:val="single" w:color="auto"/>
          <w:color w:val="auto"/>
        </w:rPr>
        <w:t>Acquisition Awards</w:t>
      </w:r>
      <w:r>
        <w:rPr>
          <w:rFonts w:ascii="Arial" w:cs="Arial" w:eastAsia="Arial" w:hAnsi="Arial"/>
          <w:sz w:val="16"/>
          <w:szCs w:val="16"/>
          <w:color w:val="auto"/>
        </w:rPr>
        <w:t xml:space="preserve">”) will not count against the number of shares of Common Stock that may be granted under the Plan or be subject to the minimum vesting provisions in </w:t>
      </w:r>
      <w:r>
        <w:rPr>
          <w:rFonts w:ascii="Arial" w:cs="Arial" w:eastAsia="Arial" w:hAnsi="Arial"/>
          <w:sz w:val="16"/>
          <w:szCs w:val="16"/>
          <w:u w:val="single" w:color="auto"/>
          <w:color w:val="auto"/>
        </w:rPr>
        <w:t>Section 11 below</w:t>
      </w:r>
      <w:r>
        <w:rPr>
          <w:rFonts w:ascii="Arial" w:cs="Arial" w:eastAsia="Arial" w:hAnsi="Arial"/>
          <w:sz w:val="16"/>
          <w:szCs w:val="16"/>
          <w:color w:val="auto"/>
        </w:rPr>
        <w:t>. Available shares under a stockholder approved plan of an acquired company (as appropriately adjusted to reflect the transaction) may be used for Awards under the Plan (subject to Nasdaq rules) and do not reduce the maximum number of shares of Common Stock available for grant under the Plan.</w:t>
      </w:r>
    </w:p>
    <w:p>
      <w:pPr>
        <w:spacing w:after="0" w:line="306" w:lineRule="exact"/>
        <w:rPr>
          <w:rFonts w:ascii="Arial" w:cs="Arial" w:eastAsia="Arial" w:hAnsi="Arial"/>
          <w:sz w:val="16"/>
          <w:szCs w:val="16"/>
          <w:color w:val="auto"/>
        </w:rPr>
      </w:pPr>
    </w:p>
    <w:p>
      <w:pPr>
        <w:jc w:val="both"/>
        <w:ind w:left="760" w:right="40" w:firstLine="1352"/>
        <w:spacing w:after="0" w:line="263" w:lineRule="auto"/>
        <w:tabs>
          <w:tab w:leader="none" w:pos="2524"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Replacement of Shares</w:t>
      </w:r>
      <w:r>
        <w:rPr>
          <w:rFonts w:ascii="Arial" w:cs="Arial" w:eastAsia="Arial" w:hAnsi="Arial"/>
          <w:sz w:val="16"/>
          <w:szCs w:val="16"/>
          <w:color w:val="auto"/>
        </w:rPr>
        <w:t>. Shares of Common Stock subject to an Award that is forfeited, expires, terminates or is settled for cash (in whole or in part), to the extent of such forfeiture, expiration, termination or cash settlement will be available for future grants of Awards under the Plan and will be added back in the same number of shares of Common Stock as were deducted in respect of such Award. The payment of dividend equivalent rights in cash in conjunction with any outstanding Awards will not be counted against the shares of Common Stock available for issuance under the Plan. Shares of Common Stock tendered by an Award holder, repurchased by the Company using proceeds from the exercise of stock options, reserved for issuance upon grant of stock-settled stock appreciation rights to the extent the number of reserved shares exceeds the number of shares actually issued upon exercise of the stock appreciation rights or withheld by the Company in payment of the exercise price of a stock option or to satisfy any tax withholding obligation for an Award will not again be available for Awards under the Plan.</w:t>
      </w:r>
    </w:p>
    <w:p>
      <w:pPr>
        <w:spacing w:after="0" w:line="318" w:lineRule="exact"/>
        <w:rPr>
          <w:rFonts w:ascii="Arial" w:cs="Arial" w:eastAsia="Arial" w:hAnsi="Arial"/>
          <w:sz w:val="16"/>
          <w:szCs w:val="16"/>
          <w:color w:val="auto"/>
        </w:rPr>
      </w:pPr>
    </w:p>
    <w:p>
      <w:pPr>
        <w:jc w:val="both"/>
        <w:ind w:left="760" w:right="40" w:firstLine="1352"/>
        <w:spacing w:after="0" w:line="265" w:lineRule="auto"/>
        <w:tabs>
          <w:tab w:leader="none" w:pos="2501"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Director Award Limitations</w:t>
      </w:r>
      <w:r>
        <w:rPr>
          <w:rFonts w:ascii="Arial" w:cs="Arial" w:eastAsia="Arial" w:hAnsi="Arial"/>
          <w:sz w:val="16"/>
          <w:szCs w:val="16"/>
          <w:color w:val="auto"/>
        </w:rPr>
        <w:t>. Aggregate Awards to any one non-employee director in respect of any calendar year, solely with respect to his or her service as a director, may not exceed $800,000 based on the aggregate value of cash fees, cash-based Awards and Fair Market Value (as defined below) of stock-based Awards, in each case determined as of the grant date.</w:t>
      </w:r>
    </w:p>
    <w:p>
      <w:pPr>
        <w:spacing w:after="0" w:line="118" w:lineRule="exact"/>
        <w:rPr>
          <w:rFonts w:ascii="Arial" w:cs="Arial" w:eastAsia="Arial" w:hAnsi="Arial"/>
          <w:sz w:val="16"/>
          <w:szCs w:val="16"/>
          <w:color w:val="auto"/>
        </w:rPr>
      </w:pPr>
    </w:p>
    <w:p>
      <w:pPr>
        <w:ind w:left="760" w:right="40" w:firstLine="1082"/>
        <w:spacing w:after="0" w:line="286" w:lineRule="auto"/>
        <w:tabs>
          <w:tab w:leader="none" w:pos="211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Stock Option Awards</w:t>
      </w:r>
      <w:r>
        <w:rPr>
          <w:rFonts w:ascii="Arial" w:cs="Arial" w:eastAsia="Arial" w:hAnsi="Arial"/>
          <w:sz w:val="16"/>
          <w:szCs w:val="16"/>
          <w:color w:val="auto"/>
        </w:rPr>
        <w:t>. Subject to the Plan, the Committee may grant stock options to such persons, at such times and upon such vesting and other conditions as the Committee, acting in its discretion, may determine.</w:t>
      </w:r>
    </w:p>
    <w:p>
      <w:pPr>
        <w:spacing w:after="0" w:line="101" w:lineRule="exact"/>
        <w:rPr>
          <w:rFonts w:ascii="Arial" w:cs="Arial" w:eastAsia="Arial" w:hAnsi="Arial"/>
          <w:sz w:val="16"/>
          <w:szCs w:val="16"/>
          <w:color w:val="auto"/>
        </w:rPr>
      </w:pPr>
    </w:p>
    <w:p>
      <w:pPr>
        <w:jc w:val="both"/>
        <w:ind w:left="760" w:right="40" w:firstLine="1352"/>
        <w:spacing w:after="0" w:line="262" w:lineRule="auto"/>
        <w:tabs>
          <w:tab w:leader="none" w:pos="2443"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Minimum Exercise Price</w:t>
      </w:r>
      <w:r>
        <w:rPr>
          <w:rFonts w:ascii="Arial" w:cs="Arial" w:eastAsia="Arial" w:hAnsi="Arial"/>
          <w:sz w:val="16"/>
          <w:szCs w:val="16"/>
          <w:color w:val="auto"/>
        </w:rPr>
        <w:t xml:space="preserve">. The purchase price per share of Common Stock covered by an option granted under the Plan may not be less than the Fair Market Value per share of Common Stock on the date the option is granted. For purposes of the Plan, “Fair Market Value” means: (i) if the Common Stock is listed on an established stock exchange or traded on the Nasdaq Stock Market, the closing sales price (or the closing bid, if no sales were reported) as quoted on such exchange or market (or the exchange or market with the greatest volume of trading in the Common Stock) on the last market trading day prior to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and (ii) if not so reported, as determined in accordance with a valuation methodology approved by the Committee. The exercise price under an option which is intended to qualify as an “incentive stock option” (within the meaning of Section 422 of the Internal Revenue Code of 1986) granted to an employee who is a 10% stockholder within the meaning of Section 422(b)(6) of the Code may not be less than 110% of the Fair Market Value per share on the date the option is granted.</w:t>
      </w:r>
    </w:p>
    <w:p>
      <w:pPr>
        <w:spacing w:after="0" w:line="110" w:lineRule="exact"/>
        <w:rPr>
          <w:rFonts w:ascii="Arial" w:cs="Arial" w:eastAsia="Arial" w:hAnsi="Arial"/>
          <w:sz w:val="16"/>
          <w:szCs w:val="16"/>
          <w:color w:val="auto"/>
        </w:rPr>
      </w:pPr>
    </w:p>
    <w:p>
      <w:pPr>
        <w:jc w:val="both"/>
        <w:ind w:left="760" w:right="40" w:firstLine="1352"/>
        <w:spacing w:after="0" w:line="275" w:lineRule="auto"/>
        <w:tabs>
          <w:tab w:leader="none" w:pos="2443"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Maximum Duration</w:t>
      </w:r>
      <w:r>
        <w:rPr>
          <w:rFonts w:ascii="Arial" w:cs="Arial" w:eastAsia="Arial" w:hAnsi="Arial"/>
          <w:sz w:val="16"/>
          <w:szCs w:val="16"/>
          <w:color w:val="auto"/>
        </w:rPr>
        <w:t>. Unless sooner terminated in accordance with its terms, an option will automatically expire on the tenth anniversary of the date it is granted (the fifth anniversary of the date it is granted in the case of an option which is intended to qualify as an “incentive stock option” granted to an employee who is a 10% stockholder).</w:t>
      </w:r>
    </w:p>
    <w:p>
      <w:pPr>
        <w:spacing w:after="0" w:line="110" w:lineRule="exact"/>
        <w:rPr>
          <w:rFonts w:ascii="Arial" w:cs="Arial" w:eastAsia="Arial" w:hAnsi="Arial"/>
          <w:sz w:val="16"/>
          <w:szCs w:val="16"/>
          <w:color w:val="auto"/>
        </w:rPr>
      </w:pPr>
    </w:p>
    <w:p>
      <w:pPr>
        <w:jc w:val="both"/>
        <w:ind w:left="760" w:right="40" w:firstLine="1352"/>
        <w:spacing w:after="0" w:line="275" w:lineRule="auto"/>
        <w:tabs>
          <w:tab w:leader="none" w:pos="2447"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No option shall be assignable or transferable except upon the optionee’s death to a beneficiary designated by the optionee in a manner prescribed or approved for this purpose by the Committee or, if no designated beneficiary shall survive the optionee, pursuant to the optionee’s will or by the laws of descent and distribution.</w:t>
      </w:r>
    </w:p>
    <w:p>
      <w:pPr>
        <w:spacing w:after="0" w:line="200" w:lineRule="exact"/>
        <w:rPr>
          <w:sz w:val="20"/>
          <w:szCs w:val="20"/>
          <w:color w:val="auto"/>
        </w:rPr>
      </w:pPr>
    </w:p>
    <w:p>
      <w:pPr>
        <w:spacing w:after="0" w:line="225" w:lineRule="exact"/>
        <w:rPr>
          <w:sz w:val="20"/>
          <w:szCs w:val="20"/>
          <w:color w:val="auto"/>
        </w:rPr>
      </w:pPr>
    </w:p>
    <w:p>
      <w:pPr>
        <w:ind w:left="6400"/>
        <w:spacing w:after="0"/>
        <w:tabs>
          <w:tab w:leader="none" w:pos="970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B: THE UPBOUND GROUP, INC. 2026 LONG-TERM INCENTIVE PLAN</w:t>
      </w:r>
    </w:p>
    <w:p>
      <w:pPr>
        <w:spacing w:after="0" w:line="370" w:lineRule="exact"/>
        <w:rPr>
          <w:sz w:val="20"/>
          <w:szCs w:val="20"/>
          <w:color w:val="auto"/>
        </w:rPr>
      </w:pPr>
    </w:p>
    <w:p>
      <w:pPr>
        <w:jc w:val="both"/>
        <w:ind w:left="760"/>
        <w:spacing w:after="0" w:line="263" w:lineRule="auto"/>
        <w:rPr>
          <w:sz w:val="20"/>
          <w:szCs w:val="20"/>
          <w:color w:val="auto"/>
        </w:rPr>
      </w:pPr>
      <w:r>
        <w:rPr>
          <w:rFonts w:ascii="Arial" w:cs="Arial" w:eastAsia="Arial" w:hAnsi="Arial"/>
          <w:sz w:val="16"/>
          <w:szCs w:val="16"/>
          <w:color w:val="auto"/>
        </w:rPr>
        <w:t xml:space="preserve">During an optionee’s lifetime, options may be exercised only by the optionee or the optionee’s guardian or legal representative. Notwithstanding the foregoing, the Committee may permit, in its discretion, the </w:t>
      </w:r>
      <w:r>
        <w:rPr>
          <w:rFonts w:ascii="Arial" w:cs="Arial" w:eastAsia="Arial" w:hAnsi="Arial"/>
          <w:sz w:val="16"/>
          <w:szCs w:val="16"/>
          <w:i w:val="1"/>
          <w:iCs w:val="1"/>
          <w:color w:val="auto"/>
        </w:rPr>
        <w:t>inter vivos</w:t>
      </w:r>
      <w:r>
        <w:rPr>
          <w:rFonts w:ascii="Arial" w:cs="Arial" w:eastAsia="Arial" w:hAnsi="Arial"/>
          <w:sz w:val="16"/>
          <w:szCs w:val="16"/>
          <w:color w:val="auto"/>
        </w:rPr>
        <w:t xml:space="preserve"> transfer of an optionee’s options</w:t>
      </w:r>
    </w:p>
    <w:p>
      <w:pPr>
        <w:jc w:val="both"/>
        <w:ind w:left="760"/>
        <w:spacing w:after="0" w:line="267" w:lineRule="auto"/>
        <w:rPr>
          <w:sz w:val="20"/>
          <w:szCs w:val="20"/>
          <w:color w:val="auto"/>
        </w:rPr>
      </w:pPr>
      <w:r>
        <w:rPr>
          <w:rFonts w:ascii="Arial" w:cs="Arial" w:eastAsia="Arial" w:hAnsi="Arial"/>
          <w:sz w:val="16"/>
          <w:szCs w:val="16"/>
          <w:color w:val="auto"/>
        </w:rPr>
        <w:t>(other than options designated as “incentive stock options”) by gift to any “family member” (within​ the meaning of Item A.1.(a)(5) of the General Instructions to Form S-8 or any successor provision), on such terms and conditions as the Committee deems appropriate.</w:t>
      </w:r>
    </w:p>
    <w:p>
      <w:pPr>
        <w:spacing w:after="0" w:line="116" w:lineRule="exact"/>
        <w:rPr>
          <w:sz w:val="20"/>
          <w:szCs w:val="20"/>
          <w:color w:val="auto"/>
        </w:rPr>
      </w:pPr>
    </w:p>
    <w:p>
      <w:pPr>
        <w:jc w:val="both"/>
        <w:ind w:left="760" w:firstLine="1352"/>
        <w:spacing w:after="0" w:line="262" w:lineRule="auto"/>
        <w:tabs>
          <w:tab w:leader="none" w:pos="247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An option may be exercised by transmitting to the Secretary of the Company (or such other person designated by the Committee) a written notice identifying the option being exercised and specifying the number of shares being purchased, together with payment of the exercise price and the amount of the applicable tax withholding obligations (unless other arrangements are made for the payment of such exercise and/or the satisfaction of such withholding obligations). The Committee, acting in its discretion, may permit the exercise price and withholding obligation to be paid in whole or in part in cash or by check, by means of a cashless exercise procedure to the extent permitted by law, by the surrender of previously-owned shares of Common Stock (to the extent of the Fair Market Value thereof) or, subject to applicable law, by any other form of consideration deemed appropriate.</w:t>
      </w:r>
    </w:p>
    <w:p>
      <w:pPr>
        <w:spacing w:after="0" w:line="121" w:lineRule="exact"/>
        <w:rPr>
          <w:rFonts w:ascii="Arial" w:cs="Arial" w:eastAsia="Arial" w:hAnsi="Arial"/>
          <w:sz w:val="16"/>
          <w:szCs w:val="16"/>
          <w:color w:val="auto"/>
        </w:rPr>
      </w:pPr>
    </w:p>
    <w:p>
      <w:pPr>
        <w:jc w:val="both"/>
        <w:ind w:left="760" w:firstLine="1352"/>
        <w:spacing w:after="0" w:line="271" w:lineRule="auto"/>
        <w:tabs>
          <w:tab w:leader="none" w:pos="247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No shares of Common Stock will be issued in respect of the exercise of an option until payment of the exercise price and the applicable tax withholding obligations have been made or arranged to the satisfaction of the Company. The holder of an option shall have no rights as a stockholder with respect to any shares covered by the option until the shares are issued pursuant to the exercise of the option.</w:t>
      </w:r>
    </w:p>
    <w:p>
      <w:pPr>
        <w:spacing w:after="0" w:line="100" w:lineRule="exact"/>
        <w:rPr>
          <w:rFonts w:ascii="Arial" w:cs="Arial" w:eastAsia="Arial" w:hAnsi="Arial"/>
          <w:sz w:val="16"/>
          <w:szCs w:val="16"/>
          <w:color w:val="auto"/>
        </w:rPr>
      </w:pPr>
    </w:p>
    <w:p>
      <w:pPr>
        <w:jc w:val="both"/>
        <w:ind w:left="760" w:firstLine="1082"/>
        <w:spacing w:after="0" w:line="275" w:lineRule="auto"/>
        <w:tabs>
          <w:tab w:leader="none" w:pos="215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Stock Awards</w:t>
      </w:r>
      <w:r>
        <w:rPr>
          <w:rFonts w:ascii="Arial" w:cs="Arial" w:eastAsia="Arial" w:hAnsi="Arial"/>
          <w:sz w:val="16"/>
          <w:szCs w:val="16"/>
          <w:color w:val="auto"/>
        </w:rPr>
        <w:t>. Subject to the Plan, the Committee may grant restricted stock, deferred stock, stock units (whether in the form of restricted stock units or deferred stock units), stock bonus and other stock Awards to such persons, at such times and upon such vesting and other conditions and restrictions as the Committee, acting in its discretion, may determine.</w:t>
      </w:r>
    </w:p>
    <w:p>
      <w:pPr>
        <w:spacing w:after="0" w:line="299" w:lineRule="exact"/>
        <w:rPr>
          <w:rFonts w:ascii="Arial" w:cs="Arial" w:eastAsia="Arial" w:hAnsi="Arial"/>
          <w:sz w:val="16"/>
          <w:szCs w:val="16"/>
          <w:color w:val="auto"/>
        </w:rPr>
      </w:pPr>
    </w:p>
    <w:p>
      <w:pPr>
        <w:jc w:val="both"/>
        <w:ind w:left="760" w:firstLine="1352"/>
        <w:spacing w:after="0" w:line="264" w:lineRule="auto"/>
        <w:tabs>
          <w:tab w:leader="none" w:pos="2497"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Stock Certificates for Restricted Stock</w:t>
      </w:r>
      <w:r>
        <w:rPr>
          <w:rFonts w:ascii="Arial" w:cs="Arial" w:eastAsia="Arial" w:hAnsi="Arial"/>
          <w:sz w:val="16"/>
          <w:szCs w:val="16"/>
          <w:color w:val="auto"/>
        </w:rPr>
        <w:t>. As determined by the Committee in its discretion, shares of restricted stock issued pursuant to a stock Award may be evidenced by book entry on the Company’s stock transfer records or by a stock certificate issued in the recipient’s name, in each case reflecting (including by legend or notation, as applicable) the conditions and restrictions applicable to the shares. The Company may require that any stock certificates for restricted shares be held in custody by the Company or a designee pending the lapse of applicable forfeiture conditions and transfer restrictions. The Committee may condition the issuance of shares of restricted stock on the recipient’s delivery to the Company of a stock power, endorsed in blank, for such shares.</w:t>
      </w:r>
    </w:p>
    <w:p>
      <w:pPr>
        <w:spacing w:after="0" w:line="108" w:lineRule="exact"/>
        <w:rPr>
          <w:rFonts w:ascii="Arial" w:cs="Arial" w:eastAsia="Arial" w:hAnsi="Arial"/>
          <w:sz w:val="16"/>
          <w:szCs w:val="16"/>
          <w:color w:val="auto"/>
        </w:rPr>
      </w:pPr>
    </w:p>
    <w:p>
      <w:pPr>
        <w:jc w:val="both"/>
        <w:ind w:left="760" w:firstLine="1352"/>
        <w:spacing w:after="0" w:line="268" w:lineRule="auto"/>
        <w:tabs>
          <w:tab w:leader="none" w:pos="2456"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Stock Certificates for Vested Stock</w:t>
      </w:r>
      <w:r>
        <w:rPr>
          <w:rFonts w:ascii="Arial" w:cs="Arial" w:eastAsia="Arial" w:hAnsi="Arial"/>
          <w:sz w:val="16"/>
          <w:szCs w:val="16"/>
          <w:color w:val="auto"/>
        </w:rPr>
        <w:t>. As determined by the Committee in its discretion, the recipient of a stock Award which is vested at the time of grant or which thereafter becomes vested may be evidenced by book entry on the Company’s stock transfer records or may be entitled to receive a stock certificate, free and clear of conditions and restrictions (except as may be imposed in order to comply with applicable law) for the shares covered by such vested Award, subject to the payment or satisfaction of applicable tax withholding obligations and, in the case of shares covered by a vested stock unit Award, subject to applicable deferral conditions permitted by Section 409A of the Code.</w:t>
      </w:r>
    </w:p>
    <w:p>
      <w:pPr>
        <w:spacing w:after="0" w:line="103" w:lineRule="exact"/>
        <w:rPr>
          <w:rFonts w:ascii="Arial" w:cs="Arial" w:eastAsia="Arial" w:hAnsi="Arial"/>
          <w:sz w:val="16"/>
          <w:szCs w:val="16"/>
          <w:color w:val="auto"/>
        </w:rPr>
      </w:pPr>
    </w:p>
    <w:p>
      <w:pPr>
        <w:jc w:val="both"/>
        <w:ind w:left="760" w:firstLine="1352"/>
        <w:spacing w:after="0" w:line="271" w:lineRule="auto"/>
        <w:tabs>
          <w:tab w:leader="none" w:pos="2434"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Unless otherwise determined by the Committee and set forth in the applicable Award Agreement, (i) the holder of a stock Award will not be entitled to receive dividend payments (or, in the case of an Award of stock units, dividend equivalent payments) with respect to the shares covered by the Award and (ii) the holder of shares of restricted stock may exercise voting rights pertaining to such shares.</w:t>
      </w:r>
    </w:p>
    <w:p>
      <w:pPr>
        <w:spacing w:after="0" w:line="100" w:lineRule="exact"/>
        <w:rPr>
          <w:rFonts w:ascii="Arial" w:cs="Arial" w:eastAsia="Arial" w:hAnsi="Arial"/>
          <w:sz w:val="16"/>
          <w:szCs w:val="16"/>
          <w:color w:val="auto"/>
        </w:rPr>
      </w:pPr>
    </w:p>
    <w:p>
      <w:pPr>
        <w:jc w:val="both"/>
        <w:ind w:left="760" w:firstLine="1352"/>
        <w:spacing w:after="0" w:line="269" w:lineRule="auto"/>
        <w:tabs>
          <w:tab w:leader="none" w:pos="2537"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Except as may be specifically permitted by the Committee in connection with transfers at death or pursuant to inter vivos gifts, no outstanding stock Award and no shares of stock covered by an outstanding stock Award may be sold, assigned, transferred, disposed of, pledged or otherwise hypothecated other than to the Company in accordance with the terms of the Award or the Plan. Any attempt to do any of the foregoing shall be null and void and, unless the Committee determines otherwise, shall result in the immediate forfeiture of the Award and/or the shares.</w:t>
      </w:r>
    </w:p>
    <w:p>
      <w:pPr>
        <w:spacing w:after="0" w:line="102" w:lineRule="exact"/>
        <w:rPr>
          <w:rFonts w:ascii="Arial" w:cs="Arial" w:eastAsia="Arial" w:hAnsi="Arial"/>
          <w:sz w:val="16"/>
          <w:szCs w:val="16"/>
          <w:color w:val="auto"/>
        </w:rPr>
      </w:pPr>
    </w:p>
    <w:p>
      <w:pPr>
        <w:jc w:val="both"/>
        <w:ind w:left="760" w:firstLine="1082"/>
        <w:spacing w:after="0" w:line="264" w:lineRule="auto"/>
        <w:tabs>
          <w:tab w:leader="none" w:pos="2204"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Other Equity-Based Awards</w:t>
      </w:r>
      <w:r>
        <w:rPr>
          <w:rFonts w:ascii="Arial" w:cs="Arial" w:eastAsia="Arial" w:hAnsi="Arial"/>
          <w:sz w:val="16"/>
          <w:szCs w:val="16"/>
          <w:color w:val="auto"/>
        </w:rPr>
        <w:t xml:space="preserve">. The Committee may grant stock appreciation rights, dividend equivalent payment rights, phantom shares, phantom stock units, bonus shares and other forms of equity-based Awards to eligible persons, subject to such terms and conditions as it may establish;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dividend or dividend equivalent payment rights shall be attributable to Awards of stock appreciation rights or stock options. The base price for a stock appreciation right granted under the Plan may not be less than the Fair Market Value per share of stock covered by the Award at the time it is granted. Unless sooner terminated in accordance with its terms, a stock appreciation right will automatically expire on the tenth anniversary of the date it is granted. Awards made pursuant to this section may entail the transfer of shares of Common Stock to a participant or the payment in cash or other property determined with reference to shares of Common Stock.</w:t>
      </w: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B-4</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4580"/>
        <w:spacing w:after="0" w:line="296" w:lineRule="auto"/>
        <w:rPr>
          <w:sz w:val="20"/>
          <w:szCs w:val="20"/>
          <w:color w:val="auto"/>
        </w:rPr>
      </w:pPr>
      <w:r>
        <w:rPr>
          <w:rFonts w:ascii="Arial" w:cs="Arial" w:eastAsia="Arial" w:hAnsi="Arial"/>
          <w:sz w:val="16"/>
          <w:szCs w:val="16"/>
          <w:b w:val="1"/>
          <w:bCs w:val="1"/>
          <w:color w:val="auto"/>
        </w:rPr>
        <w:t>ANNEX B: THE UPBOUND GROUP, INC. 2026 LONG-TERM INCENTIVE PLAN​ ​</w:t>
      </w:r>
    </w:p>
    <w:p>
      <w:pPr>
        <w:spacing w:after="0" w:line="100" w:lineRule="exact"/>
        <w:rPr>
          <w:sz w:val="20"/>
          <w:szCs w:val="20"/>
          <w:color w:val="auto"/>
        </w:rPr>
      </w:pPr>
    </w:p>
    <w:p>
      <w:pPr>
        <w:jc w:val="both"/>
        <w:ind w:left="760" w:right="40" w:firstLine="1082"/>
        <w:spacing w:after="0" w:line="257" w:lineRule="auto"/>
        <w:tabs>
          <w:tab w:leader="none" w:pos="2123"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Cash Awards</w:t>
      </w:r>
      <w:r>
        <w:rPr>
          <w:rFonts w:ascii="Arial" w:cs="Arial" w:eastAsia="Arial" w:hAnsi="Arial"/>
          <w:sz w:val="16"/>
          <w:szCs w:val="16"/>
          <w:color w:val="auto"/>
        </w:rPr>
        <w:t>. The Committee may grant Awards in cash with the amount of the eventual payment subject to future service and such other restrictions and conditions as may be established by the Committee and set forth in the underlying agreement, including, but not limited to, continuous service with the Company and its subsidiaries, achievement of specific business objectives, increases in specified indices, attaining specified growth rates and other measurements of performance.</w:t>
      </w:r>
    </w:p>
    <w:p>
      <w:pPr>
        <w:spacing w:after="0" w:line="291" w:lineRule="exact"/>
        <w:rPr>
          <w:rFonts w:ascii="Arial" w:cs="Arial" w:eastAsia="Arial" w:hAnsi="Arial"/>
          <w:sz w:val="16"/>
          <w:szCs w:val="16"/>
          <w:color w:val="auto"/>
        </w:rPr>
      </w:pPr>
    </w:p>
    <w:p>
      <w:pPr>
        <w:ind w:left="2120" w:hanging="278"/>
        <w:spacing w:after="0"/>
        <w:tabs>
          <w:tab w:leader="none" w:pos="212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Performance-Based Equity and Cash Awards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760" w:right="40" w:firstLine="1352"/>
        <w:spacing w:after="0" w:line="259" w:lineRule="auto"/>
        <w:tabs>
          <w:tab w:leader="none" w:pos="2524"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may condition the grant, exercise, vesting or settlement of equity-based Awards or annual or long-term cash incentive Awards on the achievement of specified performance goals in accordance with this section. The applicable performance period for measuring achievement of specified performance goals may be any period designated by the Committee.</w:t>
      </w:r>
    </w:p>
    <w:p>
      <w:pPr>
        <w:spacing w:after="0" w:line="96" w:lineRule="exact"/>
        <w:rPr>
          <w:rFonts w:ascii="Arial" w:cs="Arial" w:eastAsia="Arial" w:hAnsi="Arial"/>
          <w:sz w:val="16"/>
          <w:szCs w:val="16"/>
          <w:color w:val="auto"/>
        </w:rPr>
      </w:pPr>
    </w:p>
    <w:p>
      <w:pPr>
        <w:jc w:val="both"/>
        <w:ind w:left="760" w:right="40" w:firstLine="1352"/>
        <w:spacing w:after="0" w:line="266" w:lineRule="auto"/>
        <w:tabs>
          <w:tab w:leader="none" w:pos="2456"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Any performance goal established in connection with an Award granted under the Plan may be based on any subjective or objective performance goal determined by the Committee in its discretion. The Committee, in its discretion, may determine to adjust any performance goals applicable to an Award.</w:t>
      </w:r>
    </w:p>
    <w:p>
      <w:pPr>
        <w:spacing w:after="0" w:line="103" w:lineRule="exact"/>
        <w:rPr>
          <w:rFonts w:ascii="Arial" w:cs="Arial" w:eastAsia="Arial" w:hAnsi="Arial"/>
          <w:sz w:val="16"/>
          <w:szCs w:val="16"/>
          <w:color w:val="auto"/>
        </w:rPr>
      </w:pPr>
    </w:p>
    <w:p>
      <w:pPr>
        <w:jc w:val="both"/>
        <w:ind w:left="760" w:right="40" w:firstLine="1352"/>
        <w:spacing w:after="0" w:line="256" w:lineRule="auto"/>
        <w:tabs>
          <w:tab w:leader="none" w:pos="2461"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Calculation of Performance-Based Award</w:t>
      </w:r>
      <w:r>
        <w:rPr>
          <w:rFonts w:ascii="Arial" w:cs="Arial" w:eastAsia="Arial" w:hAnsi="Arial"/>
          <w:sz w:val="16"/>
          <w:szCs w:val="16"/>
          <w:color w:val="auto"/>
        </w:rPr>
        <w:t xml:space="preserve">. At the expiration of the applicable performance period, the Committee shall determine the extent to which the performance goals established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have been achieved and the extent to which each performance-based Award has been earned. The Committee may exercise its discretion to increase or decrease the amount or value of an Award that would otherwise be payable in accordance with the terms of a performance-based Award granted under the Plan.</w:t>
      </w:r>
    </w:p>
    <w:p>
      <w:pPr>
        <w:spacing w:after="0" w:line="112" w:lineRule="exact"/>
        <w:rPr>
          <w:rFonts w:ascii="Arial" w:cs="Arial" w:eastAsia="Arial" w:hAnsi="Arial"/>
          <w:sz w:val="16"/>
          <w:szCs w:val="16"/>
          <w:color w:val="auto"/>
        </w:rPr>
      </w:pPr>
    </w:p>
    <w:p>
      <w:pPr>
        <w:jc w:val="both"/>
        <w:ind w:left="760" w:right="40" w:firstLine="1082"/>
        <w:spacing w:after="0" w:line="254" w:lineRule="auto"/>
        <w:tabs>
          <w:tab w:leader="none" w:pos="224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Dividends and Dividend Equivalents</w:t>
      </w:r>
      <w:r>
        <w:rPr>
          <w:rFonts w:ascii="Arial" w:cs="Arial" w:eastAsia="Arial" w:hAnsi="Arial"/>
          <w:sz w:val="16"/>
          <w:szCs w:val="16"/>
          <w:color w:val="auto"/>
        </w:rPr>
        <w:t>. To the extent dividends or dividend equivalents are included in an Award Agreement for an applicable Award, the right to receive such dividends and dividend equivalent rights shall be subject to the same performance-vesting conditions and/or service-vesting conditions, as applicable, as the underlying Award, and no dividends or dividend equivalents shall be released to the Award holder until the Award to which they pertain has vested. For the avoidance of doubt, no dividends or dividend equivalent rights may be granted in connection with stock options or stock appreciation rights granted under the Plan.</w:t>
      </w:r>
    </w:p>
    <w:p>
      <w:pPr>
        <w:spacing w:after="0" w:line="100" w:lineRule="exact"/>
        <w:rPr>
          <w:rFonts w:ascii="Arial" w:cs="Arial" w:eastAsia="Arial" w:hAnsi="Arial"/>
          <w:sz w:val="16"/>
          <w:szCs w:val="16"/>
          <w:color w:val="auto"/>
        </w:rPr>
      </w:pPr>
    </w:p>
    <w:p>
      <w:pPr>
        <w:jc w:val="both"/>
        <w:ind w:left="760" w:right="40" w:firstLine="1082"/>
        <w:spacing w:after="0" w:line="251" w:lineRule="auto"/>
        <w:tabs>
          <w:tab w:leader="none" w:pos="2269"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Minimum Vesting Period</w:t>
      </w:r>
      <w:r>
        <w:rPr>
          <w:rFonts w:ascii="Arial" w:cs="Arial" w:eastAsia="Arial" w:hAnsi="Arial"/>
          <w:sz w:val="16"/>
          <w:szCs w:val="16"/>
          <w:color w:val="auto"/>
        </w:rPr>
        <w:t xml:space="preserve">. Notwithstanding any other provision of the Plan to the contrary, no Awards granted under the Plan, shall vest or be exercisable (in the case of stock options and stock appreciation rights), earlier than the date that is one year following the date the Award is granted;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the foregoing, (a) the Committee may provide that such restrictions may lapse or be waived upon the recipient’s death or disability or termination of service, or in connection with a Change in Control (as defined in </w:t>
      </w:r>
      <w:r>
        <w:rPr>
          <w:rFonts w:ascii="Arial" w:cs="Arial" w:eastAsia="Arial" w:hAnsi="Arial"/>
          <w:sz w:val="16"/>
          <w:szCs w:val="16"/>
          <w:u w:val="single" w:color="auto"/>
          <w:color w:val="auto"/>
        </w:rPr>
        <w:t>Section 13(b) below</w:t>
      </w:r>
      <w:r>
        <w:rPr>
          <w:rFonts w:ascii="Arial" w:cs="Arial" w:eastAsia="Arial" w:hAnsi="Arial"/>
          <w:sz w:val="16"/>
          <w:szCs w:val="16"/>
          <w:color w:val="auto"/>
        </w:rPr>
        <w:t xml:space="preserve">), (b) Awards that result in the issuance of an aggregate of up to five percent (5%) of the shares of Common Stock that may be authorized for grant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(as such authorized number of shares of Common Stock may be adjusted as provided under the terms of the Plan) may be granted without respect to such minimum vesting provision, and (c) Awards may be granted to non-employee directors without respect to such minimum vesting provision.</w:t>
      </w:r>
    </w:p>
    <w:p>
      <w:pPr>
        <w:spacing w:after="0" w:line="117" w:lineRule="exact"/>
        <w:rPr>
          <w:rFonts w:ascii="Arial" w:cs="Arial" w:eastAsia="Arial" w:hAnsi="Arial"/>
          <w:sz w:val="16"/>
          <w:szCs w:val="16"/>
          <w:color w:val="auto"/>
        </w:rPr>
      </w:pPr>
    </w:p>
    <w:p>
      <w:pPr>
        <w:jc w:val="both"/>
        <w:ind w:left="760" w:right="40" w:firstLine="1082"/>
        <w:spacing w:after="0" w:line="251" w:lineRule="auto"/>
        <w:tabs>
          <w:tab w:leader="none" w:pos="2254"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Prohibition on Stock Option and Stock Appreciation Right Repricing</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u w:val="single" w:color="auto"/>
          <w:color w:val="auto"/>
        </w:rPr>
        <w:t>below</w:t>
      </w:r>
      <w:r>
        <w:rPr>
          <w:rFonts w:ascii="Arial" w:cs="Arial" w:eastAsia="Arial" w:hAnsi="Arial"/>
          <w:sz w:val="16"/>
          <w:szCs w:val="16"/>
          <w:color w:val="auto"/>
        </w:rPr>
        <w:t xml:space="preserve"> (Adjustments; Change in Control), the Committee may not, without prior approval of the Company’s stockholders, effect any repricing of any previously granted “underwater” stock option or stock appreciation right by: (a) amending or modifying the terms of the stock option or stock appreciation right to lower the exercise price; or (b) canceling the underwater stock option or stock appreciation right and granting either (i) replacement stock options or stock appreciation rights having a lower exercise price, or (ii) restricted stock, restricted stock units, or other stock-based award in exchange, or (iii) canceling or repurchasing the underwater stock options or stock appreciation rights for cash or other securities. A stock option or stock appreciation right will be deemed to be “underwater” at any time when the Fair Market Value of the shares of Common Stock covered by such Award is less than the exercise price or base price of the Award.</w:t>
      </w:r>
    </w:p>
    <w:p>
      <w:pPr>
        <w:spacing w:after="0" w:line="117" w:lineRule="exact"/>
        <w:rPr>
          <w:rFonts w:ascii="Arial" w:cs="Arial" w:eastAsia="Arial" w:hAnsi="Arial"/>
          <w:sz w:val="16"/>
          <w:szCs w:val="16"/>
          <w:color w:val="auto"/>
        </w:rPr>
      </w:pPr>
    </w:p>
    <w:p>
      <w:pPr>
        <w:ind w:left="2200" w:hanging="358"/>
        <w:spacing w:after="0"/>
        <w:tabs>
          <w:tab w:leader="none" w:pos="220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Adjustments; Change in Control</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760" w:right="40" w:firstLine="1442"/>
        <w:spacing w:after="0" w:line="250" w:lineRule="auto"/>
        <w:tabs>
          <w:tab w:leader="none" w:pos="2587" w:val="left"/>
        </w:tabs>
        <w:numPr>
          <w:ilvl w:val="2"/>
          <w:numId w:val="118"/>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The aggregate number and class of shares issuable under the Plan, the maximum number of shares with respect to which options, stock appreciation rights and other equity Awards may be granted to or earned by any employee in any calendar year, the number and class of shares and the exercise price or base price per share covered by each outstanding option and stock appreciation right, and the number and class of shares covered by each outstanding stock Award or other-equity-based Award, and any per-share base or purchase price or target market price included in the terms of any such Award, and related terms shall be adjusted by the Board or the Committee in such manner as it deems appropriate (including, without limitation, by payment of cash) to reflect any increase or decrease in the number of issued shares of Common Stock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and/or to reflect a change in the character or class of shares covered by the plan arising from a readjustment or recapitalization of the Company’s capital stock.</w:t>
      </w:r>
    </w:p>
    <w:p>
      <w:pPr>
        <w:spacing w:after="0" w:line="200" w:lineRule="exact"/>
        <w:rPr>
          <w:sz w:val="20"/>
          <w:szCs w:val="20"/>
          <w:color w:val="auto"/>
        </w:rPr>
      </w:pPr>
    </w:p>
    <w:p>
      <w:pPr>
        <w:spacing w:after="0" w:line="246" w:lineRule="exact"/>
        <w:rPr>
          <w:sz w:val="20"/>
          <w:szCs w:val="20"/>
          <w:color w:val="auto"/>
        </w:rPr>
      </w:pPr>
    </w:p>
    <w:p>
      <w:pPr>
        <w:ind w:left="6400"/>
        <w:spacing w:after="0"/>
        <w:tabs>
          <w:tab w:leader="none" w:pos="970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B: THE UPBOUND GROUP, INC. 2026 LONG-TERM INCENTIVE PLAN</w:t>
      </w:r>
    </w:p>
    <w:p>
      <w:pPr>
        <w:spacing w:after="0" w:line="370" w:lineRule="exact"/>
        <w:rPr>
          <w:sz w:val="20"/>
          <w:szCs w:val="20"/>
          <w:color w:val="auto"/>
        </w:rPr>
      </w:pPr>
    </w:p>
    <w:p>
      <w:pPr>
        <w:ind w:left="2540" w:hanging="338"/>
        <w:spacing w:after="0"/>
        <w:tabs>
          <w:tab w:leader="none" w:pos="254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760" w:firstLine="1802"/>
        <w:spacing w:after="0" w:line="263" w:lineRule="auto"/>
        <w:tabs>
          <w:tab w:leader="none" w:pos="2859" w:val="left"/>
        </w:tabs>
        <w:numPr>
          <w:ilvl w:val="2"/>
          <w:numId w:val="119"/>
        </w:numPr>
        <w:rPr>
          <w:rFonts w:ascii="Arial" w:cs="Arial" w:eastAsia="Arial" w:hAnsi="Arial"/>
          <w:sz w:val="16"/>
          <w:szCs w:val="16"/>
          <w:color w:val="auto"/>
        </w:rPr>
      </w:pPr>
      <w:r>
        <w:rPr>
          <w:rFonts w:ascii="Arial" w:cs="Arial" w:eastAsia="Arial" w:hAnsi="Arial"/>
          <w:sz w:val="16"/>
          <w:szCs w:val="16"/>
          <w:color w:val="auto"/>
        </w:rPr>
        <w:t>If an Award holder’s employment or other service is terminated by the Company or any successor entity thereto without “cause” or by the Award holder for “good reason” (as​ each such term is defined in the applicable Award Agreement or an Award holder’s executive transition agreement or employment agreement, if applicable) upon or within two</w:t>
      </w:r>
    </w:p>
    <w:p>
      <w:pPr>
        <w:spacing w:after="0" w:line="1" w:lineRule="exact"/>
        <w:rPr>
          <w:rFonts w:ascii="Arial" w:cs="Arial" w:eastAsia="Arial" w:hAnsi="Arial"/>
          <w:sz w:val="16"/>
          <w:szCs w:val="16"/>
          <w:color w:val="auto"/>
        </w:rPr>
      </w:pPr>
    </w:p>
    <w:p>
      <w:pPr>
        <w:jc w:val="both"/>
        <w:ind w:left="760" w:firstLine="2"/>
        <w:spacing w:after="0" w:line="266" w:lineRule="auto"/>
        <w:tabs>
          <w:tab w:leader="none" w:pos="101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years after a Change in Control, (A) each Award granted to such Award holder prior to such Change in Control will become fully vested (including the lapsing of all restrictions and conditions) and, as applicable, exercisable as of the date of such termination of employment or other service, and (B) any shares deliverable pursuant to stock units will be delivered promptly (but no later than fifteen (15) days) following such termination.</w:t>
      </w:r>
    </w:p>
    <w:p>
      <w:pPr>
        <w:spacing w:after="0" w:line="103" w:lineRule="exact"/>
        <w:rPr>
          <w:rFonts w:ascii="Arial" w:cs="Arial" w:eastAsia="Arial" w:hAnsi="Arial"/>
          <w:sz w:val="16"/>
          <w:szCs w:val="16"/>
          <w:color w:val="auto"/>
        </w:rPr>
      </w:pPr>
    </w:p>
    <w:p>
      <w:pPr>
        <w:jc w:val="both"/>
        <w:ind w:left="760" w:firstLine="1802"/>
        <w:spacing w:after="0" w:line="269" w:lineRule="auto"/>
        <w:tabs>
          <w:tab w:leader="none" w:pos="2929" w:val="left"/>
        </w:tabs>
        <w:numPr>
          <w:ilvl w:val="2"/>
          <w:numId w:val="120"/>
        </w:numPr>
        <w:rPr>
          <w:rFonts w:ascii="Arial" w:cs="Arial" w:eastAsia="Arial" w:hAnsi="Arial"/>
          <w:sz w:val="16"/>
          <w:szCs w:val="16"/>
          <w:color w:val="auto"/>
        </w:rPr>
      </w:pPr>
      <w:r>
        <w:rPr>
          <w:rFonts w:ascii="Arial" w:cs="Arial" w:eastAsia="Arial" w:hAnsi="Arial"/>
          <w:sz w:val="16"/>
          <w:szCs w:val="16"/>
          <w:color w:val="auto"/>
        </w:rPr>
        <w:t xml:space="preserve">As of the Change in Control date, any outstanding performance-based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w:t>
      </w:r>
      <w:r>
        <w:rPr>
          <w:rFonts w:ascii="Arial" w:cs="Arial" w:eastAsia="Arial" w:hAnsi="Arial"/>
          <w:sz w:val="16"/>
          <w:szCs w:val="16"/>
          <w:u w:val="single" w:color="auto"/>
          <w:color w:val="auto"/>
        </w:rPr>
        <w:t>clause (i) above</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jc w:val="both"/>
        <w:ind w:left="760" w:firstLine="1802"/>
        <w:spacing w:after="0" w:line="260" w:lineRule="auto"/>
        <w:tabs>
          <w:tab w:leader="none" w:pos="2936" w:val="left"/>
        </w:tabs>
        <w:numPr>
          <w:ilvl w:val="2"/>
          <w:numId w:val="120"/>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of a Change in Control, an Award holder’s Award will be treated, to the extent determined by the Committee to be permitted under Section 409A, in accordance with one or more of the following methods as determined by the Committee in its discretion: (A) settle such Awards for fair value (as determined in the discretion of the Committee), which in the case of options and stock appreciation rights, may equal the excess, if any, of the value of the consideration to be paid in the Change in Control transaction to holders of the same number of shares of Common Stock subject to such options or stock appreciation rights over the aggregate exercise price of such options or stock appreciation rights, as the case may be; (B) provide for the assumption of or the issuance of substitute awards that will substantially preserve the otherwise applicable terms of any affected Awards previously granted under the Plan, as determined by the Committee in its discretion; or (C) provide that for a period of at least twenty (20) days prior to the Change in Control, any options or stock appreciation rights that would not otherwise become exercisable prior to the Change in Control will be exercisable as to all shares of Common Stock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the Committee will determine if Awards settled under </w:t>
      </w:r>
      <w:r>
        <w:rPr>
          <w:rFonts w:ascii="Arial" w:cs="Arial" w:eastAsia="Arial" w:hAnsi="Arial"/>
          <w:sz w:val="16"/>
          <w:szCs w:val="16"/>
          <w:u w:val="single" w:color="auto"/>
          <w:color w:val="auto"/>
        </w:rPr>
        <w:t>clause (A) above</w:t>
      </w:r>
      <w:r>
        <w:rPr>
          <w:rFonts w:ascii="Arial" w:cs="Arial" w:eastAsia="Arial" w:hAnsi="Arial"/>
          <w:sz w:val="16"/>
          <w:szCs w:val="16"/>
          <w:color w:val="auto"/>
        </w:rPr>
        <w:t xml:space="preserve"> are (1) valued at closing taking into account such contingent value rights (with the value determined by the Committee in its sole discretion) or (2) entitled to a share of such contingent value rights. For the avoidance of doubt, in the event of a Change in Control where all options and stock appreciation rights are settled for an amount (as determined in the sole discretion of the Committee) of cash or securities, the Committee may, in its sole discretion, terminate any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may be taken in the event of a merger or other corporate reorganization that does not constitute a Change in Control.</w:t>
      </w:r>
    </w:p>
    <w:p>
      <w:pPr>
        <w:spacing w:after="0" w:line="313" w:lineRule="exact"/>
        <w:rPr>
          <w:rFonts w:ascii="Arial" w:cs="Arial" w:eastAsia="Arial" w:hAnsi="Arial"/>
          <w:sz w:val="16"/>
          <w:szCs w:val="16"/>
          <w:color w:val="auto"/>
        </w:rPr>
      </w:pPr>
    </w:p>
    <w:p>
      <w:pPr>
        <w:ind w:left="2520" w:hanging="318"/>
        <w:spacing w:after="0"/>
        <w:tabs>
          <w:tab w:leader="none" w:pos="25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w:t>
      </w:r>
    </w:p>
    <w:p>
      <w:pPr>
        <w:spacing w:after="0" w:line="153" w:lineRule="exact"/>
        <w:rPr>
          <w:rFonts w:ascii="Arial" w:cs="Arial" w:eastAsia="Arial" w:hAnsi="Arial"/>
          <w:sz w:val="16"/>
          <w:szCs w:val="16"/>
          <w:color w:val="auto"/>
        </w:rPr>
      </w:pPr>
    </w:p>
    <w:p>
      <w:pPr>
        <w:jc w:val="both"/>
        <w:ind w:left="760" w:firstLine="1802"/>
        <w:spacing w:after="0" w:line="263" w:lineRule="auto"/>
        <w:tabs>
          <w:tab w:leader="none" w:pos="2877" w:val="left"/>
        </w:tabs>
        <w:numPr>
          <w:ilvl w:val="2"/>
          <w:numId w:val="121"/>
        </w:numPr>
        <w:rPr>
          <w:rFonts w:ascii="Arial" w:cs="Arial" w:eastAsia="Arial" w:hAnsi="Arial"/>
          <w:sz w:val="16"/>
          <w:szCs w:val="16"/>
          <w:color w:val="auto"/>
        </w:rPr>
      </w:pPr>
      <w:r>
        <w:rPr>
          <w:rFonts w:ascii="Arial" w:cs="Arial" w:eastAsia="Arial" w:hAnsi="Arial"/>
          <w:sz w:val="16"/>
          <w:szCs w:val="16"/>
          <w:color w:val="auto"/>
        </w:rPr>
        <w:t>any “person” (as​ that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is or becomes the “beneficial owner” (as​ defined in Rule 13d-3 under the Exchange Act), directly or indirectly, of securities representing 30% or more of the combined voting power of the then outstanding securities of the Company eligible to vote for the election of the members of the Board (the “</w:t>
      </w:r>
      <w:r>
        <w:rPr>
          <w:rFonts w:ascii="Arial" w:cs="Arial" w:eastAsia="Arial" w:hAnsi="Arial"/>
          <w:sz w:val="16"/>
          <w:szCs w:val="16"/>
          <w:u w:val="single" w:color="auto"/>
          <w:color w:val="auto"/>
        </w:rPr>
        <w:t>Company Voting Securities</w:t>
      </w:r>
      <w:r>
        <w:rPr>
          <w:rFonts w:ascii="Arial" w:cs="Arial" w:eastAsia="Arial" w:hAnsi="Arial"/>
          <w:sz w:val="16"/>
          <w:szCs w:val="16"/>
          <w:color w:val="auto"/>
        </w:rPr>
        <w:t>”), unless</w:t>
      </w:r>
    </w:p>
    <w:p>
      <w:pPr>
        <w:spacing w:after="0" w:line="2" w:lineRule="exact"/>
        <w:rPr>
          <w:rFonts w:ascii="Arial" w:cs="Arial" w:eastAsia="Arial" w:hAnsi="Arial"/>
          <w:sz w:val="16"/>
          <w:szCs w:val="16"/>
          <w:color w:val="auto"/>
        </w:rPr>
      </w:pPr>
    </w:p>
    <w:p>
      <w:pPr>
        <w:jc w:val="both"/>
        <w:ind w:left="760"/>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(A) such person is the Company, (B) such person is an employee benefit plan (or a trust which is a part of such a plan) which provides benefits exclusively to, or on behalf of, employees or former employees of the Company, (C) such person is the Award holder, an entity controlled by the Award holder or a group which includes the Award holder or (D) ) such person acquired such securities in a Non-Qualifying Transaction (as defined in </w:t>
      </w:r>
      <w:r>
        <w:rPr>
          <w:rFonts w:ascii="Arial" w:cs="Arial" w:eastAsia="Arial" w:hAnsi="Arial"/>
          <w:sz w:val="16"/>
          <w:szCs w:val="16"/>
          <w:u w:val="single" w:color="auto"/>
          <w:color w:val="auto"/>
        </w:rPr>
        <w:t>clause (iv) below</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left="760" w:firstLine="1802"/>
        <w:spacing w:after="0" w:line="264" w:lineRule="auto"/>
        <w:tabs>
          <w:tab w:leader="none" w:pos="2894" w:val="left"/>
        </w:tabs>
        <w:numPr>
          <w:ilvl w:val="2"/>
          <w:numId w:val="121"/>
        </w:numPr>
        <w:rPr>
          <w:rFonts w:ascii="Arial" w:cs="Arial" w:eastAsia="Arial" w:hAnsi="Arial"/>
          <w:sz w:val="16"/>
          <w:szCs w:val="16"/>
          <w:color w:val="auto"/>
        </w:rPr>
      </w:pPr>
      <w:r>
        <w:rPr>
          <w:rFonts w:ascii="Arial" w:cs="Arial" w:eastAsia="Arial" w:hAnsi="Arial"/>
          <w:sz w:val="16"/>
          <w:szCs w:val="16"/>
          <w:color w:val="auto"/>
        </w:rPr>
        <w:t>during any period of not more than twelve (12) months, individuals who constitute the Board as of the beginning of the period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any person becoming a director subsequent to the beginning of such period, whose election or nomination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election was approved by a vote of at least a majority of the Incumbent Directors then on the Board (either by a specific vote or by approval of the Company’s proxy statement in which such person is named as a nominee for director, without written objection to such nomination) will be an Incumbent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B-6</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4580"/>
        <w:spacing w:after="0" w:line="296" w:lineRule="auto"/>
        <w:rPr>
          <w:sz w:val="20"/>
          <w:szCs w:val="20"/>
          <w:color w:val="auto"/>
        </w:rPr>
      </w:pPr>
      <w:r>
        <w:rPr>
          <w:rFonts w:ascii="Arial" w:cs="Arial" w:eastAsia="Arial" w:hAnsi="Arial"/>
          <w:sz w:val="16"/>
          <w:szCs w:val="16"/>
          <w:b w:val="1"/>
          <w:bCs w:val="1"/>
          <w:color w:val="auto"/>
        </w:rPr>
        <w:t>ANNEX B: THE UPBOUND GROUP, INC. 2026 LONG-TERM INCENTIVE PLAN​ ​</w:t>
      </w:r>
    </w:p>
    <w:p>
      <w:pPr>
        <w:spacing w:after="0" w:line="100" w:lineRule="exact"/>
        <w:rPr>
          <w:sz w:val="20"/>
          <w:szCs w:val="20"/>
          <w:color w:val="auto"/>
        </w:rPr>
      </w:pPr>
    </w:p>
    <w:p>
      <w:pPr>
        <w:ind w:left="760" w:right="40" w:firstLine="1802"/>
        <w:spacing w:after="0" w:line="286" w:lineRule="auto"/>
        <w:tabs>
          <w:tab w:leader="none" w:pos="2923" w:val="left"/>
        </w:tabs>
        <w:numPr>
          <w:ilvl w:val="2"/>
          <w:numId w:val="122"/>
        </w:numPr>
        <w:rPr>
          <w:rFonts w:ascii="Arial" w:cs="Arial" w:eastAsia="Arial" w:hAnsi="Arial"/>
          <w:sz w:val="16"/>
          <w:szCs w:val="16"/>
          <w:color w:val="auto"/>
        </w:rPr>
      </w:pPr>
      <w:r>
        <w:rPr>
          <w:rFonts w:ascii="Arial" w:cs="Arial" w:eastAsia="Arial" w:hAnsi="Arial"/>
          <w:sz w:val="16"/>
          <w:szCs w:val="16"/>
          <w:color w:val="auto"/>
        </w:rPr>
        <w:t>any dissolution or liquidation of the Company or any sale or disposition of all or substantially all of the assets or business of the Company; or</w:t>
      </w:r>
    </w:p>
    <w:p>
      <w:pPr>
        <w:spacing w:after="0" w:line="74" w:lineRule="exact"/>
        <w:rPr>
          <w:rFonts w:ascii="Arial" w:cs="Arial" w:eastAsia="Arial" w:hAnsi="Arial"/>
          <w:sz w:val="16"/>
          <w:szCs w:val="16"/>
          <w:color w:val="auto"/>
        </w:rPr>
      </w:pPr>
    </w:p>
    <w:p>
      <w:pPr>
        <w:jc w:val="both"/>
        <w:ind w:left="760" w:right="40" w:firstLine="1802"/>
        <w:spacing w:after="0" w:line="249" w:lineRule="auto"/>
        <w:tabs>
          <w:tab w:leader="none" w:pos="2933" w:val="left"/>
        </w:tabs>
        <w:numPr>
          <w:ilvl w:val="2"/>
          <w:numId w:val="122"/>
        </w:numPr>
        <w:rPr>
          <w:rFonts w:ascii="Arial" w:cs="Arial" w:eastAsia="Arial" w:hAnsi="Arial"/>
          <w:sz w:val="16"/>
          <w:szCs w:val="16"/>
          <w:color w:val="auto"/>
        </w:rPr>
      </w:pPr>
      <w:r>
        <w:rPr>
          <w:rFonts w:ascii="Arial" w:cs="Arial" w:eastAsia="Arial" w:hAnsi="Arial"/>
          <w:sz w:val="16"/>
          <w:szCs w:val="16"/>
          <w:color w:val="auto"/>
        </w:rPr>
        <w:t>the consummation of any reorganization, merger, consolidation or share exchange or similar form of corporate transaction involving the Company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u w:val="single" w:color="auto"/>
          <w:color w:val="auto"/>
        </w:rPr>
        <w:t>Surviving Entity</w:t>
      </w:r>
      <w:r>
        <w:rPr>
          <w:rFonts w:ascii="Arial" w:cs="Arial" w:eastAsia="Arial" w:hAnsi="Arial"/>
          <w:sz w:val="16"/>
          <w:szCs w:val="16"/>
          <w:color w:val="auto"/>
        </w:rPr>
        <w:t xml:space="preserve">”),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will be deemed to be a “</w:t>
      </w:r>
      <w:r>
        <w:rPr>
          <w:rFonts w:ascii="Arial" w:cs="Arial" w:eastAsia="Arial" w:hAnsi="Arial"/>
          <w:sz w:val="16"/>
          <w:szCs w:val="16"/>
          <w:u w:val="single" w:color="auto"/>
          <w:color w:val="auto"/>
        </w:rPr>
        <w:t>Non-Qualifying Transaction</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left="760" w:right="40" w:firstLine="1442"/>
        <w:spacing w:after="0" w:line="266" w:lineRule="auto"/>
        <w:tabs>
          <w:tab w:leader="none" w:pos="2560"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In the event of any adjustment in the number and type of shares covered by any Award pursuant to the provisions hereof, any fractional shares resulting from such adjustment shall be disregarded, and each such Award shall cover only the number of full shares resulting from the adjustment.</w:t>
      </w:r>
    </w:p>
    <w:p>
      <w:pPr>
        <w:spacing w:after="0" w:line="103" w:lineRule="exact"/>
        <w:rPr>
          <w:rFonts w:ascii="Arial" w:cs="Arial" w:eastAsia="Arial" w:hAnsi="Arial"/>
          <w:sz w:val="16"/>
          <w:szCs w:val="16"/>
          <w:color w:val="auto"/>
        </w:rPr>
      </w:pPr>
    </w:p>
    <w:p>
      <w:pPr>
        <w:jc w:val="both"/>
        <w:ind w:left="760" w:right="40" w:firstLine="1442"/>
        <w:spacing w:after="0" w:line="259" w:lineRule="auto"/>
        <w:tabs>
          <w:tab w:leader="none" w:pos="2533"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Determination of Board or Committee to be Final</w:t>
      </w:r>
      <w:r>
        <w:rPr>
          <w:rFonts w:ascii="Arial" w:cs="Arial" w:eastAsia="Arial" w:hAnsi="Arial"/>
          <w:sz w:val="16"/>
          <w:szCs w:val="16"/>
          <w:color w:val="auto"/>
        </w:rPr>
        <w:t xml:space="preserve">. All adjustments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made by the Board or the Committee, and its determination as to what adjustments shall be made, and the extent thereof, shall be entitled to the maximum deference permitted by law and shall be final, non-reviewable, non-appealable, binding and conclusive on all persons.</w:t>
      </w:r>
    </w:p>
    <w:p>
      <w:pPr>
        <w:spacing w:after="0" w:line="96" w:lineRule="exact"/>
        <w:rPr>
          <w:rFonts w:ascii="Arial" w:cs="Arial" w:eastAsia="Arial" w:hAnsi="Arial"/>
          <w:sz w:val="16"/>
          <w:szCs w:val="16"/>
          <w:color w:val="auto"/>
        </w:rPr>
      </w:pPr>
    </w:p>
    <w:p>
      <w:pPr>
        <w:jc w:val="both"/>
        <w:ind w:left="760" w:right="40" w:firstLine="1082"/>
        <w:spacing w:after="0" w:line="251" w:lineRule="auto"/>
        <w:tabs>
          <w:tab w:leader="none" w:pos="220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As a condition to the exercise or settlement of any Award, or in connection with any other event that gives rise to a tax withholding obligation on the part of the Company or a subsidiary relating to an Award, the Company and/or the subsidiary may (a) deduct or withhold (or cause to be deducted or withheld) from any payment or distribution to the recipient of an Award, whether or not made pursuant to the Plan or (b) require the recipient to remit cash (through payroll deduction or otherwise), in each case in an amount sufficient in the opinion of the Company to satisfy such withholding obligation. If the event giving rise to the withholding obligation involves a transfer of shares of stock, then, at the discretion of the Committee, the recipient may satisfy the applicable tax withholding obligation by electing to have the Company withhold shares of stock or by tendering previously-owned shares, in each case having a Fair Market Value equal to the amount of tax to be withheld (or by any other mechanism as may be required or appropriate to conform with local tax and other rules).</w:t>
      </w:r>
    </w:p>
    <w:p>
      <w:pPr>
        <w:spacing w:after="0" w:line="117" w:lineRule="exact"/>
        <w:rPr>
          <w:rFonts w:ascii="Arial" w:cs="Arial" w:eastAsia="Arial" w:hAnsi="Arial"/>
          <w:sz w:val="16"/>
          <w:szCs w:val="16"/>
          <w:color w:val="auto"/>
        </w:rPr>
      </w:pPr>
    </w:p>
    <w:p>
      <w:pPr>
        <w:jc w:val="both"/>
        <w:ind w:left="760" w:right="40" w:firstLine="1082"/>
        <w:spacing w:after="0" w:line="252" w:lineRule="auto"/>
        <w:tabs>
          <w:tab w:leader="none" w:pos="2241"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xml:space="preserve">. The Board may amend or terminate the 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action may materially adversely affect a holder’s rights under an outstanding Award without his or her written consent. Any amendment that would increase the aggregate number of shares of Common Stock issuable under the Plan, the maximum number of shares with respect to which options, stock appreciation rights or other equity awards may be granted to any employee in any calendar year, or that would modify the class of persons eligible to receive Awards shall be subject to the approval of the Company’s stockholders. The Committee may amend the terms of any agreement or Award made hereunder at any time and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amendment which would adversely affect a holder’s rights under an outstanding Award may not be made without his or her consent.</w:t>
      </w:r>
    </w:p>
    <w:p>
      <w:pPr>
        <w:spacing w:after="0" w:line="115" w:lineRule="exact"/>
        <w:rPr>
          <w:rFonts w:ascii="Arial" w:cs="Arial" w:eastAsia="Arial" w:hAnsi="Arial"/>
          <w:sz w:val="16"/>
          <w:szCs w:val="16"/>
          <w:color w:val="auto"/>
        </w:rPr>
      </w:pPr>
    </w:p>
    <w:p>
      <w:pPr>
        <w:ind w:left="2200" w:hanging="358"/>
        <w:spacing w:after="0"/>
        <w:tabs>
          <w:tab w:leader="none" w:pos="220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760" w:right="40" w:firstLine="1442"/>
        <w:spacing w:after="0" w:line="275" w:lineRule="auto"/>
        <w:tabs>
          <w:tab w:leader="none" w:pos="2560"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Shares Issued Under Plan</w:t>
      </w:r>
      <w:r>
        <w:rPr>
          <w:rFonts w:ascii="Arial" w:cs="Arial" w:eastAsia="Arial" w:hAnsi="Arial"/>
          <w:sz w:val="16"/>
          <w:szCs w:val="16"/>
          <w:color w:val="auto"/>
        </w:rPr>
        <w:t>. Shares of Common Stock available for issuance under the Plan may be authorized and unissued, held by the Company in its treasury or otherwise acquired for purposes of the Plan. No fractional shares will be issued under the Plan.</w:t>
      </w:r>
    </w:p>
    <w:p>
      <w:pPr>
        <w:spacing w:after="0" w:line="110" w:lineRule="exact"/>
        <w:rPr>
          <w:rFonts w:ascii="Arial" w:cs="Arial" w:eastAsia="Arial" w:hAnsi="Arial"/>
          <w:sz w:val="16"/>
          <w:szCs w:val="16"/>
          <w:color w:val="auto"/>
        </w:rPr>
      </w:pPr>
    </w:p>
    <w:p>
      <w:pPr>
        <w:jc w:val="both"/>
        <w:ind w:left="760" w:right="40" w:firstLine="1442"/>
        <w:spacing w:after="0" w:line="262" w:lineRule="auto"/>
        <w:tabs>
          <w:tab w:leader="none" w:pos="2546"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Compliance with Law and Other Requirements</w:t>
      </w:r>
      <w:r>
        <w:rPr>
          <w:rFonts w:ascii="Arial" w:cs="Arial" w:eastAsia="Arial" w:hAnsi="Arial"/>
          <w:sz w:val="16"/>
          <w:szCs w:val="16"/>
          <w:color w:val="auto"/>
        </w:rPr>
        <w:t>. The Company will not be obligated to issue or deliver shares of stock pursuant to the Plan unless the issuance and delivery of such shares complies with applicable law, including, without limitation, the Securities Act of 1933, as amended, the Exchange Act, the requirements of any stock exchange or market upon which the Company’s stock may then be listed, and the Company’s insider trading policy, as in effect from time to time. The Company may prevent or delay the exercise of an option or stock appreciation right, or the settlement of an Award and/or the termination of restrictions applicable to an Award if and to the extent the Company deems necessary or advisable in order to avoid a violation of applicable laws or its own policies regarding the purchase and sale of its stock. If, during the period of any such ban or delay, the term of an affected stock option, stock appreciation right</w:t>
      </w:r>
    </w:p>
    <w:p>
      <w:pPr>
        <w:spacing w:after="0" w:line="200" w:lineRule="exact"/>
        <w:rPr>
          <w:sz w:val="20"/>
          <w:szCs w:val="20"/>
          <w:color w:val="auto"/>
        </w:rPr>
      </w:pPr>
    </w:p>
    <w:p>
      <w:pPr>
        <w:spacing w:after="0" w:line="250" w:lineRule="exact"/>
        <w:rPr>
          <w:sz w:val="20"/>
          <w:szCs w:val="20"/>
          <w:color w:val="auto"/>
        </w:rPr>
      </w:pPr>
    </w:p>
    <w:p>
      <w:pPr>
        <w:ind w:left="6400"/>
        <w:spacing w:after="0"/>
        <w:tabs>
          <w:tab w:leader="none" w:pos="970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ANNEX B: THE UPBOUND GROUP, INC. 2026 LONG-TERM INCENTIVE PLAN</w:t>
      </w:r>
    </w:p>
    <w:p>
      <w:pPr>
        <w:spacing w:after="0" w:line="370" w:lineRule="exact"/>
        <w:rPr>
          <w:sz w:val="20"/>
          <w:szCs w:val="20"/>
          <w:color w:val="auto"/>
        </w:rPr>
      </w:pPr>
    </w:p>
    <w:p>
      <w:pPr>
        <w:ind w:left="760"/>
        <w:spacing w:after="0" w:line="304" w:lineRule="auto"/>
        <w:rPr>
          <w:sz w:val="20"/>
          <w:szCs w:val="20"/>
          <w:color w:val="auto"/>
        </w:rPr>
      </w:pPr>
      <w:r>
        <w:rPr>
          <w:rFonts w:ascii="Arial" w:cs="Arial" w:eastAsia="Arial" w:hAnsi="Arial"/>
          <w:sz w:val="16"/>
          <w:szCs w:val="16"/>
          <w:color w:val="auto"/>
        </w:rPr>
        <w:t>or other Award would expire, then the term of such option, stock appreciation right or other Award will be extended for thirty days after the Company removes the restriction against exercise.</w:t>
      </w:r>
    </w:p>
    <w:p>
      <w:pPr>
        <w:spacing w:after="0" w:line="87" w:lineRule="exact"/>
        <w:rPr>
          <w:sz w:val="20"/>
          <w:szCs w:val="20"/>
          <w:color w:val="auto"/>
        </w:rPr>
      </w:pPr>
    </w:p>
    <w:p>
      <w:pPr>
        <w:jc w:val="both"/>
        <w:ind w:left="760" w:firstLine="1442"/>
        <w:spacing w:after="0" w:line="278" w:lineRule="auto"/>
        <w:tabs>
          <w:tab w:leader="none" w:pos="2551"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Transfer Orders; Placement of Legends</w:t>
      </w:r>
      <w:r>
        <w:rPr>
          <w:rFonts w:ascii="Arial" w:cs="Arial" w:eastAsia="Arial" w:hAnsi="Arial"/>
          <w:sz w:val="16"/>
          <w:szCs w:val="16"/>
          <w:color w:val="auto"/>
        </w:rPr>
        <w:t>. All certificates for shares of Common Stock delivered under the Plan shall be subject to such stock-transfer orders and other restrictions as the Company may deem advisable, including pursuant to the rules, regulations, and other requirements of the Securities and Exchange Commission, any stock exchange or market upon which the Company’s stock may then be listed, and any applicable federal or state securities law. The Company may cause a legend or legends to be placed on any such certificates to make appropriate reference to such restrictions.</w:t>
      </w:r>
    </w:p>
    <w:p>
      <w:pPr>
        <w:spacing w:after="0" w:line="108" w:lineRule="exact"/>
        <w:rPr>
          <w:rFonts w:ascii="Arial" w:cs="Arial" w:eastAsia="Arial" w:hAnsi="Arial"/>
          <w:sz w:val="16"/>
          <w:szCs w:val="16"/>
          <w:color w:val="auto"/>
        </w:rPr>
      </w:pPr>
    </w:p>
    <w:p>
      <w:pPr>
        <w:jc w:val="both"/>
        <w:ind w:left="760" w:firstLine="1442"/>
        <w:spacing w:after="0" w:line="282" w:lineRule="auto"/>
        <w:tabs>
          <w:tab w:leader="none" w:pos="260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No Employment or other Rights</w:t>
      </w:r>
      <w:r>
        <w:rPr>
          <w:rFonts w:ascii="Arial" w:cs="Arial" w:eastAsia="Arial" w:hAnsi="Arial"/>
          <w:sz w:val="16"/>
          <w:szCs w:val="16"/>
          <w:color w:val="auto"/>
        </w:rPr>
        <w:t>. Nothing contained in the Plan or in any Award Agreement shall confer upon any recipient of an Award any right with respect to the continuation of his or her employment or other service with the Company or a subsidiary or interfere in any way with the right of the Company and its subsidiaries at any time to terminate such employment or other service or to increase or decrease, or otherwise adjust, the other terms and conditions of the recipient’s employment or other service.</w:t>
      </w:r>
    </w:p>
    <w:p>
      <w:pPr>
        <w:spacing w:after="0" w:line="107" w:lineRule="exact"/>
        <w:rPr>
          <w:rFonts w:ascii="Arial" w:cs="Arial" w:eastAsia="Arial" w:hAnsi="Arial"/>
          <w:sz w:val="16"/>
          <w:szCs w:val="16"/>
          <w:color w:val="auto"/>
        </w:rPr>
      </w:pPr>
    </w:p>
    <w:p>
      <w:pPr>
        <w:jc w:val="both"/>
        <w:ind w:left="760" w:firstLine="1442"/>
        <w:spacing w:after="0" w:line="283" w:lineRule="auto"/>
        <w:tabs>
          <w:tab w:leader="none" w:pos="2546"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Decisions and Determinations Final</w:t>
      </w:r>
      <w:r>
        <w:rPr>
          <w:rFonts w:ascii="Arial" w:cs="Arial" w:eastAsia="Arial" w:hAnsi="Arial"/>
          <w:sz w:val="16"/>
          <w:szCs w:val="16"/>
          <w:color w:val="auto"/>
        </w:rPr>
        <w:t>. All decisions and determinations made by the Board pursuant to the provisions hereof and, except to the extent rights or powers under the Plan are reserved specifically to the discretion of the Board, all decisions and determinations of the Committee, shall be entitled to the maximum deference permitted by law and shall be final, non-reviewable, non-appealable, binding and conclusive on all persons.</w:t>
      </w:r>
    </w:p>
    <w:p>
      <w:pPr>
        <w:spacing w:after="0" w:line="104" w:lineRule="exact"/>
        <w:rPr>
          <w:rFonts w:ascii="Arial" w:cs="Arial" w:eastAsia="Arial" w:hAnsi="Arial"/>
          <w:sz w:val="16"/>
          <w:szCs w:val="16"/>
          <w:color w:val="auto"/>
        </w:rPr>
      </w:pPr>
    </w:p>
    <w:p>
      <w:pPr>
        <w:jc w:val="both"/>
        <w:ind w:left="760" w:firstLine="1442"/>
        <w:spacing w:after="0" w:line="276" w:lineRule="auto"/>
        <w:tabs>
          <w:tab w:leader="none" w:pos="2542"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Non-Uniform Determinations</w:t>
      </w:r>
      <w:r>
        <w:rPr>
          <w:rFonts w:ascii="Arial" w:cs="Arial" w:eastAsia="Arial" w:hAnsi="Arial"/>
          <w:sz w:val="16"/>
          <w:szCs w:val="16"/>
          <w:color w:val="auto"/>
        </w:rPr>
        <w:t>. The Board’s and 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Board and the Committee will be entitled, among other things, to make non-uniform and selective determinations under Award Agreements, and to enter into non-uniform and selective Award Agreements, as to (i) the persons to receive Awards, (ii) the terms and provisions of Awards and (iii) whether an Award holder’s employment or other service has been terminated for purposes of the Plan.</w:t>
      </w:r>
    </w:p>
    <w:p>
      <w:pPr>
        <w:spacing w:after="0" w:line="111" w:lineRule="exact"/>
        <w:rPr>
          <w:rFonts w:ascii="Arial" w:cs="Arial" w:eastAsia="Arial" w:hAnsi="Arial"/>
          <w:sz w:val="16"/>
          <w:szCs w:val="16"/>
          <w:color w:val="auto"/>
        </w:rPr>
      </w:pPr>
    </w:p>
    <w:p>
      <w:pPr>
        <w:jc w:val="both"/>
        <w:ind w:left="760" w:firstLine="1442"/>
        <w:spacing w:after="0" w:line="270" w:lineRule="auto"/>
        <w:tabs>
          <w:tab w:leader="none" w:pos="2573"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six-month period immediately following the Award recipient’s “separation from service” as defined in Section 409A of the Code shall instead be paid on the first payroll date after the six-month anniversary of the recipient’s separation from service (or the recipient’s death, if earlier). Notwithstanding the foregoing, neither the Company nor the Committee will have any obligation to take any action to prevent the assessment of any excise tax or penalty on any individual under Section 409A of the Code and neither the Company nor the Committee will have any liability to any individual for such tax or penalty. If the Award includes a</w:t>
      </w:r>
    </w:p>
    <w:p>
      <w:pPr>
        <w:spacing w:after="0" w:line="3" w:lineRule="exact"/>
        <w:rPr>
          <w:rFonts w:ascii="Arial" w:cs="Arial" w:eastAsia="Arial" w:hAnsi="Arial"/>
          <w:sz w:val="16"/>
          <w:szCs w:val="16"/>
          <w:color w:val="auto"/>
        </w:rPr>
      </w:pPr>
    </w:p>
    <w:p>
      <w:pPr>
        <w:jc w:val="both"/>
        <w:ind w:left="760"/>
        <w:spacing w:after="0" w:line="285" w:lineRule="auto"/>
        <w:rPr>
          <w:rFonts w:ascii="Arial" w:cs="Arial" w:eastAsia="Arial" w:hAnsi="Arial"/>
          <w:sz w:val="16"/>
          <w:szCs w:val="16"/>
          <w:color w:val="auto"/>
        </w:rPr>
      </w:pPr>
      <w:r>
        <w:rPr>
          <w:rFonts w:ascii="Arial" w:cs="Arial" w:eastAsia="Arial" w:hAnsi="Arial"/>
          <w:sz w:val="16"/>
          <w:szCs w:val="16"/>
          <w:color w:val="auto"/>
        </w:rPr>
        <w:t>“series of installment payments” (within​ the meaning of Section 1.409A-2(b)(2)(iii) of the Treasury Regulations), the Award holder’s right to the series of installment payments will be treated as a right to a series of separate payments and not as a right to a single payment.</w:t>
      </w:r>
    </w:p>
    <w:p>
      <w:pPr>
        <w:spacing w:after="0" w:line="101" w:lineRule="exact"/>
        <w:rPr>
          <w:rFonts w:ascii="Arial" w:cs="Arial" w:eastAsia="Arial" w:hAnsi="Arial"/>
          <w:sz w:val="16"/>
          <w:szCs w:val="16"/>
          <w:color w:val="auto"/>
        </w:rPr>
      </w:pPr>
    </w:p>
    <w:p>
      <w:pPr>
        <w:jc w:val="both"/>
        <w:ind w:left="760" w:firstLine="1442"/>
        <w:spacing w:after="0" w:line="292" w:lineRule="auto"/>
        <w:tabs>
          <w:tab w:leader="none" w:pos="2533"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Clawback/Recapture Policy</w:t>
      </w:r>
      <w:r>
        <w:rPr>
          <w:rFonts w:ascii="Arial" w:cs="Arial" w:eastAsia="Arial" w:hAnsi="Arial"/>
          <w:sz w:val="16"/>
          <w:szCs w:val="16"/>
          <w:color w:val="auto"/>
        </w:rPr>
        <w:t>. 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Award holder.</w:t>
      </w:r>
    </w:p>
    <w:p>
      <w:pPr>
        <w:spacing w:after="0" w:line="97" w:lineRule="exact"/>
        <w:rPr>
          <w:rFonts w:ascii="Arial" w:cs="Arial" w:eastAsia="Arial" w:hAnsi="Arial"/>
          <w:sz w:val="16"/>
          <w:szCs w:val="16"/>
          <w:color w:val="auto"/>
        </w:rPr>
      </w:pPr>
    </w:p>
    <w:p>
      <w:pPr>
        <w:jc w:val="both"/>
        <w:ind w:left="760" w:firstLine="1082"/>
        <w:spacing w:after="0" w:line="298" w:lineRule="auto"/>
        <w:tabs>
          <w:tab w:leader="none" w:pos="2227"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rights and obligations under the Plan and each Award Agreement or instrument shall be governed by and construed in accordance with the laws of the State of Texas, without regard to its principles of conflict of laws.</w:t>
      </w:r>
    </w:p>
    <w:p>
      <w:pPr>
        <w:spacing w:after="0" w:line="299" w:lineRule="exact"/>
        <w:rPr>
          <w:rFonts w:ascii="Arial" w:cs="Arial" w:eastAsia="Arial" w:hAnsi="Arial"/>
          <w:sz w:val="16"/>
          <w:szCs w:val="16"/>
          <w:color w:val="auto"/>
        </w:rPr>
      </w:pPr>
    </w:p>
    <w:p>
      <w:pPr>
        <w:jc w:val="both"/>
        <w:ind w:left="760" w:firstLine="1082"/>
        <w:spacing w:after="0" w:line="276" w:lineRule="auto"/>
        <w:tabs>
          <w:tab w:leader="none" w:pos="22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Any controversy or claim between the Company and an Award holder arising out of or relating to or concerning the Plan or any Award granted hereunder will be finally settled by arbitration in Dallas, Texas administered by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xml:space="preserve">”) and each party shall be responsible for its own legal fees;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reimburse the Award holder for such holder’s reasonable fees and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dispute if the arbitrator determines that the Award holder has substantially prevailed on at least one claim. The Award holder or the Company may bring an action or special proceeding in a state or federal court of competent jurisdiction sitting in Dallas, Texas to enforce any arbitration award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4"/>
          <w:szCs w:val="14"/>
          <w:b w:val="1"/>
          <w:bCs w:val="1"/>
          <w:color w:val="auto"/>
        </w:rPr>
        <w:t>B-8</w:t>
      </w:r>
      <w:r>
        <w:rPr>
          <w:sz w:val="20"/>
          <w:szCs w:val="20"/>
          <w:color w:val="auto"/>
        </w:rPr>
        <w:tab/>
      </w:r>
      <w:r>
        <w:rPr>
          <w:rFonts w:ascii="Arial" w:cs="Arial" w:eastAsia="Arial" w:hAnsi="Arial"/>
          <w:sz w:val="13"/>
          <w:szCs w:val="13"/>
          <w:b w:val="1"/>
          <w:bCs w:val="1"/>
          <w:color w:val="auto"/>
        </w:rPr>
        <w:t xml:space="preserve">UPBOUND GROUP, INC.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76" w:lineRule="exact"/>
        <w:rPr>
          <w:sz w:val="20"/>
          <w:szCs w:val="20"/>
          <w:color w:val="auto"/>
        </w:rPr>
      </w:pPr>
    </w:p>
    <w:p>
      <w:pPr>
        <w:jc w:val="right"/>
        <w:ind w:left="4580"/>
        <w:spacing w:after="0" w:line="296" w:lineRule="auto"/>
        <w:rPr>
          <w:sz w:val="20"/>
          <w:szCs w:val="20"/>
          <w:color w:val="auto"/>
        </w:rPr>
      </w:pPr>
      <w:r>
        <w:rPr>
          <w:rFonts w:ascii="Arial" w:cs="Arial" w:eastAsia="Arial" w:hAnsi="Arial"/>
          <w:sz w:val="16"/>
          <w:szCs w:val="16"/>
          <w:b w:val="1"/>
          <w:bCs w:val="1"/>
          <w:color w:val="auto"/>
        </w:rPr>
        <w:t>ANNEX B: THE UPBOUND GROUP, INC. 2026 LONG-TERM INCENTIVE PLAN​ ​</w:t>
      </w:r>
    </w:p>
    <w:p>
      <w:pPr>
        <w:spacing w:after="0" w:line="100" w:lineRule="exact"/>
        <w:rPr>
          <w:sz w:val="20"/>
          <w:szCs w:val="20"/>
          <w:color w:val="auto"/>
        </w:rPr>
      </w:pPr>
    </w:p>
    <w:p>
      <w:pPr>
        <w:jc w:val="both"/>
        <w:ind w:left="760" w:right="40" w:firstLine="1082"/>
        <w:spacing w:after="0" w:line="265" w:lineRule="auto"/>
        <w:tabs>
          <w:tab w:leader="none" w:pos="220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Term of the Plan</w:t>
      </w:r>
      <w:r>
        <w:rPr>
          <w:rFonts w:ascii="Arial" w:cs="Arial" w:eastAsia="Arial" w:hAnsi="Arial"/>
          <w:sz w:val="16"/>
          <w:szCs w:val="16"/>
          <w:color w:val="auto"/>
        </w:rPr>
        <w:t>. The Plan shall become effective on the date of approval by the Company’s stockholders. Unless terminated sooner by the Board, the Plan shall terminate on the tenth anniversary of the Effective Date. The rights of any person with respect to an Award made under the Plan that is outstanding at the time of the termination of the Plan shall not be affected solely by reason of the termination of the Plan and shall continue in accordance with the terms of the Award and of the Plan, as each is then in effect or is thereafter amended.</w:t>
      </w:r>
    </w:p>
    <w:p>
      <w:pPr>
        <w:spacing w:after="0" w:line="120" w:lineRule="exact"/>
        <w:rPr>
          <w:sz w:val="20"/>
          <w:szCs w:val="20"/>
          <w:color w:val="auto"/>
        </w:rPr>
      </w:pPr>
    </w:p>
    <w:p>
      <w:pPr>
        <w:ind w:left="3140"/>
        <w:spacing w:after="0"/>
        <w:rPr>
          <w:sz w:val="20"/>
          <w:szCs w:val="20"/>
          <w:color w:val="auto"/>
        </w:rPr>
      </w:pPr>
      <w:r>
        <w:rPr>
          <w:rFonts w:ascii="Arial" w:cs="Arial" w:eastAsia="Arial" w:hAnsi="Arial"/>
          <w:sz w:val="16"/>
          <w:szCs w:val="16"/>
          <w:i w:val="1"/>
          <w:iCs w:val="1"/>
          <w:color w:val="auto"/>
        </w:rPr>
        <w:t>As approved by the Company’s stockholders on June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0"/>
        <w:spacing w:after="0"/>
        <w:tabs>
          <w:tab w:leader="none" w:pos="9700" w:val="left"/>
        </w:tabs>
        <w:rPr>
          <w:sz w:val="20"/>
          <w:szCs w:val="20"/>
          <w:color w:val="auto"/>
        </w:rPr>
      </w:pPr>
      <w:r>
        <w:rPr>
          <w:rFonts w:ascii="Arial" w:cs="Arial" w:eastAsia="Arial" w:hAnsi="Arial"/>
          <w:sz w:val="14"/>
          <w:szCs w:val="14"/>
          <w:b w:val="1"/>
          <w:bCs w:val="1"/>
          <w:color w:val="auto"/>
        </w:rPr>
        <w:t xml:space="preserve">UPBOUND GROUP, INC.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2026 Proxy Statement</w:t>
      </w:r>
      <w:r>
        <w:rPr>
          <w:sz w:val="20"/>
          <w:szCs w:val="20"/>
          <w:color w:val="auto"/>
        </w:rPr>
        <w:tab/>
      </w:r>
      <w:r>
        <w:rPr>
          <w:rFonts w:ascii="Arial" w:cs="Arial" w:eastAsia="Arial" w:hAnsi="Arial"/>
          <w:sz w:val="12"/>
          <w:szCs w:val="12"/>
          <w:b w:val="1"/>
          <w:bCs w:val="1"/>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2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1)"/>
      <w:numFmt w:val="decimal"/>
      <w:start w:val="3"/>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1"/>
      <w:numFmt w:val="decimal"/>
      <w:start w:val="10"/>
    </w:lvl>
  </w:abstractNum>
  <w:abstractNum w:abstractNumId="8">
    <w:nsid w:val="5DB70AE5"/>
    <w:multiLevelType w:val="hybridMultilevel"/>
    <w:lvl w:ilvl="0">
      <w:lvlJc w:val="left"/>
      <w:lvlText w:val="%1"/>
      <w:numFmt w:val="decimal"/>
      <w:start w:val="12"/>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1)"/>
      <w:numFmt w:val="decimal"/>
      <w:start w:val="3"/>
    </w:lvl>
  </w:abstractNum>
  <w:abstractNum w:abstractNumId="11">
    <w:nsid w:val="15014ACB"/>
    <w:multiLevelType w:val="hybridMultilevel"/>
    <w:lvl w:ilvl="0">
      <w:lvlJc w:val="left"/>
      <w:lvlText w:val="(%1)"/>
      <w:numFmt w:val="decimal"/>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decimal"/>
      <w:start w:val="1"/>
    </w:lvl>
    <w:lvl w:ilvl="1">
      <w:lvlJc w:val="left"/>
      <w:lvlText w:val="•"/>
      <w:numFmt w:val="bullet"/>
      <w:start w:val="1"/>
    </w:lvl>
  </w:abstractNum>
  <w:abstractNum w:abstractNumId="19">
    <w:nsid w:val="661E3F1E"/>
    <w:multiLevelType w:val="hybridMultilevel"/>
    <w:lvl w:ilvl="0">
      <w:lvlJc w:val="left"/>
      <w:lvlText w:val="(%1)"/>
      <w:numFmt w:val="decimal"/>
      <w:start w:val="2"/>
    </w:lvl>
  </w:abstractNum>
  <w:abstractNum w:abstractNumId="20">
    <w:nsid w:val="5DC79EA8"/>
    <w:multiLevelType w:val="hybridMultilevel"/>
    <w:lvl w:ilvl="0">
      <w:lvlJc w:val="left"/>
      <w:lvlText w:val="&amp;"/>
      <w:numFmt w:val="bullet"/>
      <w:start w:val="1"/>
    </w:lvl>
  </w:abstractNum>
  <w:abstractNum w:abstractNumId="21">
    <w:nsid w:val="540A471C"/>
    <w:multiLevelType w:val="hybridMultilevel"/>
    <w:lvl w:ilvl="0">
      <w:lvlJc w:val="left"/>
      <w:lvlText w:val="(%1)"/>
      <w:numFmt w:val="lowerRoman"/>
      <w:start w:val="2"/>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1"/>
      <w:numFmt w:val="decimal"/>
      <w:start w:val="28"/>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1)"/>
      <w:numFmt w:val="decimal"/>
      <w:start w:val="1"/>
    </w:lvl>
  </w:abstractNum>
  <w:abstractNum w:abstractNumId="27">
    <w:nsid w:val="42963E5A"/>
    <w:multiLevelType w:val="hybridMultilevel"/>
    <w:lvl w:ilvl="0">
      <w:lvlJc w:val="left"/>
      <w:lvlText w:val="(%1)"/>
      <w:numFmt w:val="decimal"/>
      <w:start w:val="3"/>
    </w:lvl>
  </w:abstractNum>
  <w:abstractNum w:abstractNumId="28">
    <w:nsid w:val="A0382C5"/>
    <w:multiLevelType w:val="hybridMultilevel"/>
    <w:lvl w:ilvl="0">
      <w:lvlJc w:val="left"/>
      <w:lvlText w:val="•"/>
      <w:numFmt w:val="bullet"/>
      <w:start w:val="1"/>
    </w:lvl>
    <w:lvl w:ilvl="1">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1)"/>
      <w:numFmt w:val="decimal"/>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1)"/>
      <w:numFmt w:val="decimal"/>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1)"/>
      <w:numFmt w:val="decimal"/>
      <w:start w:val="1"/>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1)"/>
      <w:numFmt w:val="decimal"/>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1)"/>
      <w:numFmt w:val="lowerRoman"/>
      <w:start w:val="3"/>
    </w:lvl>
  </w:abstractNum>
  <w:abstractNum w:abstractNumId="47">
    <w:nsid w:val="4C04A8AF"/>
    <w:multiLevelType w:val="hybridMultilevel"/>
    <w:lvl w:ilvl="0">
      <w:lvlJc w:val="left"/>
      <w:lvlText w:val="(%1)"/>
      <w:numFmt w:val="lowerRoman"/>
      <w:start w:val="1"/>
    </w:lvl>
    <w:lvl w:ilvl="1">
      <w:lvlJc w:val="left"/>
      <w:lvlText w:val="(%2)"/>
      <w:numFmt w:val="lowerLetter"/>
      <w:start w:val="25"/>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1)"/>
      <w:numFmt w:val="decimal"/>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1)"/>
      <w:numFmt w:val="lowerRoman"/>
      <w:start w:val="2"/>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5"/>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1)"/>
      <w:numFmt w:val="decimal"/>
      <w:start w:val="1"/>
    </w:lvl>
  </w:abstractNum>
  <w:abstractNum w:abstractNumId="61">
    <w:nsid w:val="26F324BA"/>
    <w:multiLevelType w:val="hybridMultilevel"/>
    <w:lvl w:ilvl="0">
      <w:lvlJc w:val="left"/>
      <w:lvlText w:val="(%1)"/>
      <w:numFmt w:val="decimal"/>
      <w:start w:val="4"/>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1)"/>
      <w:numFmt w:val="decimal"/>
      <w:start w:val="1"/>
    </w:lvl>
  </w:abstractNum>
  <w:abstractNum w:abstractNumId="66">
    <w:nsid w:val="50801EE1"/>
    <w:multiLevelType w:val="hybridMultilevel"/>
    <w:lvl w:ilvl="0">
      <w:lvlJc w:val="left"/>
      <w:lvlText w:val="(%1)"/>
      <w:numFmt w:val="decimal"/>
      <w:start w:val="1"/>
    </w:lvl>
  </w:abstractNum>
  <w:abstractNum w:abstractNumId="67">
    <w:nsid w:val="488AC1A"/>
    <w:multiLevelType w:val="hybridMultilevel"/>
    <w:lvl w:ilvl="0">
      <w:lvlJc w:val="left"/>
      <w:lvlText w:val="(%1)"/>
      <w:numFmt w:val="decimal"/>
      <w:start w:val="1"/>
    </w:lvl>
  </w:abstractNum>
  <w:abstractNum w:abstractNumId="68">
    <w:nsid w:val="5FB8011C"/>
    <w:multiLevelType w:val="hybridMultilevel"/>
    <w:lvl w:ilvl="0">
      <w:lvlJc w:val="left"/>
      <w:lvlText w:val="(%1)"/>
      <w:numFmt w:val="decimal"/>
      <w:start w:val="3"/>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decimal"/>
      <w:start w:val="4"/>
    </w:lvl>
  </w:abstractNum>
  <w:abstractNum w:abstractNumId="82">
    <w:nsid w:val="9DAF632"/>
    <w:multiLevelType w:val="hybridMultilevel"/>
    <w:lvl w:ilvl="0">
      <w:lvlJc w:val="left"/>
      <w:lvlText w:val="(%1)"/>
      <w:numFmt w:val="decimal"/>
      <w:start w:val="8"/>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1)"/>
      <w:numFmt w:val="decimal"/>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decimal"/>
      <w:start w:val="3"/>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1)"/>
      <w:numFmt w:val="decimal"/>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1)"/>
      <w:numFmt w:val="decimal"/>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1)"/>
      <w:numFmt w:val="decimal"/>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1)"/>
      <w:numFmt w:val="decimal"/>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1)"/>
      <w:numFmt w:val="decimal"/>
      <w:start w:val="1"/>
    </w:lvl>
  </w:abstractNum>
  <w:abstractNum w:abstractNumId="113">
    <w:nsid w:val="5675FF36"/>
    <w:multiLevelType w:val="hybridMultilevel"/>
    <w:lvl w:ilvl="0">
      <w:lvlJc w:val="left"/>
      <w:lvlText w:val="%1."/>
      <w:numFmt w:val="decimal"/>
      <w:start w:val="1"/>
    </w:lvl>
    <w:lvl w:ilvl="1">
      <w:lvlJc w:val="left"/>
      <w:lvlText w:val="(%2)"/>
      <w:numFmt w:val="lowerLetter"/>
      <w:start w:val="1"/>
    </w:lvl>
  </w:abstractNum>
  <w:abstractNum w:abstractNumId="114">
    <w:nsid w:val="3DD15094"/>
    <w:multiLevelType w:val="hybridMultilevel"/>
    <w:lvl w:ilvl="0">
      <w:lvlJc w:val="left"/>
      <w:lvlText w:val="%1."/>
      <w:numFmt w:val="decimal"/>
      <w:start w:val="3"/>
    </w:lvl>
    <w:lvl w:ilvl="1">
      <w:lvlJc w:val="left"/>
      <w:lvlText w:val="(%2)"/>
      <w:numFmt w:val="lowerLetter"/>
      <w:start w:val="1"/>
    </w:lvl>
  </w:abstractNum>
  <w:abstractNum w:abstractNumId="115">
    <w:nsid w:val="3DB012B3"/>
    <w:multiLevelType w:val="hybridMultilevel"/>
    <w:lvl w:ilvl="0">
      <w:lvlJc w:val="left"/>
      <w:lvlText w:val="%1"/>
      <w:numFmt w:val="decimal"/>
      <w:start w:val="1"/>
    </w:lvl>
    <w:lvl w:ilvl="1">
      <w:lvlJc w:val="left"/>
      <w:lvlText w:val="(%2)"/>
      <w:numFmt w:val="lowerLetter"/>
      <w:start w:val="4"/>
    </w:lvl>
  </w:abstractNum>
  <w:abstractNum w:abstractNumId="116">
    <w:nsid w:val="2708C9AF"/>
    <w:multiLevelType w:val="hybridMultilevel"/>
    <w:lvl w:ilvl="0">
      <w:lvlJc w:val="left"/>
      <w:lvlText w:val="%1."/>
      <w:numFmt w:val="decimal"/>
      <w:start w:val="6"/>
    </w:lvl>
    <w:lvl w:ilvl="1">
      <w:lvlJc w:val="left"/>
      <w:lvlText w:val="(%2)"/>
      <w:numFmt w:val="lowerLetter"/>
      <w:start w:val="1"/>
    </w:lvl>
  </w:abstractNum>
  <w:abstractNum w:abstractNumId="117">
    <w:nsid w:val="5B25ACE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18">
    <w:nsid w:val="175DFCF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9">
    <w:nsid w:val="4F97E3E4"/>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2"/>
    </w:lvl>
  </w:abstractNum>
  <w:abstractNum w:abstractNumId="120">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1">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2">
    <w:nsid w:val="5915FF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3">
    <w:nsid w:val="56438D15"/>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4">
    <w:nsid w:val="519E3149"/>
    <w:multiLevelType w:val="hybridMultilevel"/>
    <w:lvl w:ilvl="0">
      <w:lvlJc w:val="left"/>
      <w:lvlText w:val="%1"/>
      <w:numFmt w:val="decimal"/>
      <w:start w:val="1"/>
    </w:lvl>
    <w:lvl w:ilvl="1">
      <w:lvlJc w:val="left"/>
      <w:lvlText w:val="(%2)"/>
      <w:numFmt w:val="lowerLetter"/>
      <w:start w:val="3"/>
    </w:lvl>
  </w:abstractNum>
  <w:abstractNum w:abstractNumId="125">
    <w:nsid w:val="2C6E4AFD"/>
    <w:multiLevelType w:val="hybridMultilevel"/>
    <w:lvl w:ilvl="0">
      <w:lvlJc w:val="left"/>
      <w:lvlText w:val="%1."/>
      <w:numFmt w:val="decimal"/>
      <w:start w:val="17"/>
    </w:lvl>
    <w:lvl w:ilvl="1">
      <w:lvlJc w:val="left"/>
      <w:lvlText w:val="%2"/>
      <w:numFmt w:val="lowerLetter"/>
      <w:start w:val="1"/>
    </w:lvl>
  </w:abstractNum>
  <w:abstractNum w:abstractNumId="126">
    <w:nsid w:val="17A1B58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2026-04-21T07:05:14Z</dcterms:created>
  <dcterms:modified xsi:type="dcterms:W3CDTF">2026-04-21T07:05:14Z</dcterms:modified>
</cp:coreProperties>
</file>