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pbd-20260721.htm"/>
      <w:bookmarkStart w:id="1" w:name="ksupbd2026072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Upbound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001-38047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45-0491516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5501 Headquarters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801-1100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660" w:type="dxa"/>
        <w:jc w:val="left"/>
        <w:tblInd w:w="0" w:type="dxa"/>
        <w:tblLayout w:type="fixed"/>
        <w:tblCellMar>
          <w:top w:w="28" w:type="dxa"/>
          <w:left w:w="28" w:type="dxa"/>
          <w:bottom w:w="28" w:type="dxa"/>
          <w:right w:w="28" w:type="dxa"/>
        </w:tblCellMar>
      </w:tblPr>
      <w:tblGrid>
        <w:gridCol w:w="2596"/>
        <w:gridCol w:w="146"/>
        <w:gridCol w:w="946"/>
        <w:gridCol w:w="146"/>
        <w:gridCol w:w="382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UPBD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both"/>
        <w:rPr>
          <w:rFonts w:ascii="Times New Roman" w:hAnsi="Times New Roman"/>
          <w:color w:val="000000"/>
          <w:sz w:val="20"/>
        </w:rPr>
      </w:pPr>
      <w:r>
        <w:rPr>
          <w:rFonts w:ascii="Times New Roman" w:hAnsi="Times New Roman"/>
          <w:color w:val="000000"/>
          <w:sz w:val="20"/>
        </w:rPr>
        <w:t>Upbound Group, Inc. (the “Company”) recently experienced cybersecurity incidents in which certain non-sensitive customer information and other documents were obtained without authorization. In connection with certain such incidents, the Company believes the information was subsequently used to facilitate fraudulent lease-to-own agreements, contributing to elevated fraudulent contract losses of approximately $13 million in the Company’s Acima segment during the second quarter of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identifying the data compromise, the Company promptly began implementing mitigation and remediation measures. These measures, implemented in coordination with external cybersecurity experts, include enhanced authentication controls, additional fraud detection and monitoring capabilities, and other security enhancements. The Company also notified federal law enforcement of the incidents.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investigation of these incidents remains ongoing, and it will make any legal or regulatory notifications as appropriate based on its investigation findings. Based on the Company’s current knowledge of the quantitative and qualitative facts and circumstances related to the incidents, the Company believes that the incidents are not material. Should any of the relevant facts and circumstances substantively change, the Company will reassess materiality considerations in accordance with Item 1.05 of Form 8-K.</w:t>
      </w:r>
    </w:p>
    <w:p>
      <w:pPr>
        <w:pStyle w:val="TextBody"/>
        <w:bidi w:val="0"/>
        <w:jc w:val="both"/>
        <w:rPr/>
      </w:pPr>
      <w:r>
        <w:rPr/>
        <w:t> </w:t>
      </w:r>
    </w:p>
    <w:p>
      <w:pPr>
        <w:pStyle w:val="TextBody"/>
        <w:bidi w:val="0"/>
        <w:spacing w:before="2" w:after="283"/>
        <w:jc w:val="left"/>
        <w:rPr>
          <w:rFonts w:ascii="Times New Roman" w:hAnsi="Times New Roman"/>
          <w:b/>
          <w:color w:val="000000"/>
          <w:sz w:val="20"/>
        </w:rPr>
      </w:pPr>
      <w:r>
        <w:rPr>
          <w:rFonts w:ascii="Times New Roman" w:hAnsi="Times New Roman"/>
          <w:b/>
          <w:color w:val="000000"/>
          <w:sz w:val="20"/>
        </w:rPr>
        <w:t>Caution Concerning Forward-Looking Statements</w:t>
      </w:r>
    </w:p>
    <w:p>
      <w:pPr>
        <w:pStyle w:val="TextBody"/>
        <w:bidi w:val="0"/>
        <w:spacing w:before="2" w:after="283"/>
        <w:jc w:val="both"/>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Such forward-looking statements involve risks and uncertainties, including statements regarding our understanding of the event and its potential impacts. Factors that could cause or contribute to material and adverse differences between actual and anticipated results include, but are not limited to, (1) the discovery of new information regarding the events described above, (2) the general strength of the economy and other economic conditions affecting consumer preferences, spending and payment behaviors, including the availability of credit to the Company’s target consumers and to other consumers, impacts from continued inflation, central bank monetary policy initiatives to address inflation concerns and a possible recession or slowdown in economic growth, (3) risks described in our full first quarter 2026 earnings release and related materials, and (4) the other risks detailed from time to time in the reports filed by us with the Securities and Exchange Commission, including our Annual Report on Form 10-K for the year ended December 31, 2025, and our Quarterly Report on Form 10-Q for the quarter ended March 31, 2026, as well as subsequent Quarterly Reports on Form 10-Q or Current Reports on Form 8-K. Accordingly, you should not rely on these forward-looking statements. All forward-looking statements are based on information currently available to us. The Company undertakes no obligation to update these statements for revisions or changes after the date of this Current Report on Form 8-K, except as required by law.</w:t>
      </w:r>
    </w:p>
    <w:p>
      <w:pPr>
        <w:pStyle w:val="TextBody"/>
        <w:bidi w:val="0"/>
        <w:spacing w:before="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64" w:type="dxa"/>
        <w:jc w:val="left"/>
        <w:tblInd w:w="0" w:type="dxa"/>
        <w:tblLayout w:type="fixed"/>
        <w:tblCellMar>
          <w:top w:w="28" w:type="dxa"/>
          <w:left w:w="28" w:type="dxa"/>
          <w:bottom w:w="28" w:type="dxa"/>
          <w:right w:w="28" w:type="dxa"/>
        </w:tblCellMar>
      </w:tblPr>
      <w:tblGrid>
        <w:gridCol w:w="556"/>
        <w:gridCol w:w="121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UPBOUND GROUP,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Hal Khouri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Hal Khouri</w:t>
              <w:br/>
              <w:t>Executive Vice President,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4628</Characters>
  <CharactersWithSpaces>5417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