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0001814381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283"/>
              <w:jc w:val="left"/>
              <w:rPr/>
            </w:pPr>
            <w:r>
              <w:rPr/>
              <w:t>Name of Issuer</w:t>
            </w:r>
          </w:p>
        </w:tc>
        <w:tc>
          <w:tcPr>
            <w:tcW w:w="4357" w:type="dxa"/>
            <w:tcBorders/>
            <w:vAlign w:val="center"/>
          </w:tcPr>
          <w:p>
            <w:pPr>
              <w:pStyle w:val="TableContents"/>
              <w:bidi w:val="0"/>
              <w:spacing w:before="0" w:after="0"/>
              <w:jc w:val="left"/>
              <w:rPr/>
            </w:pPr>
            <w:r>
              <w:rPr/>
              <w:t>UPBOUND GROUP, INC.</w:t>
            </w:r>
          </w:p>
        </w:tc>
      </w:tr>
      <w:tr>
        <w:trPr/>
        <w:tc>
          <w:tcPr>
            <w:tcW w:w="5848" w:type="dxa"/>
            <w:tcBorders/>
            <w:vAlign w:val="center"/>
          </w:tcPr>
          <w:p>
            <w:pPr>
              <w:pStyle w:val="TableContents"/>
              <w:bidi w:val="0"/>
              <w:spacing w:before="0" w:after="283"/>
              <w:jc w:val="left"/>
              <w:rPr/>
            </w:pPr>
            <w:r>
              <w:rPr/>
              <w:t>SEC File Number</w:t>
            </w:r>
          </w:p>
        </w:tc>
        <w:tc>
          <w:tcPr>
            <w:tcW w:w="4357" w:type="dxa"/>
            <w:tcBorders/>
            <w:vAlign w:val="center"/>
          </w:tcPr>
          <w:p>
            <w:pPr>
              <w:pStyle w:val="TableContents"/>
              <w:bidi w:val="0"/>
              <w:spacing w:before="0" w:after="0"/>
              <w:jc w:val="left"/>
              <w:rPr/>
            </w:pPr>
            <w:r>
              <w:rPr/>
              <w:t>001-38047</w:t>
            </w:r>
          </w:p>
        </w:tc>
      </w:tr>
      <w:tr>
        <w:trPr/>
        <w:tc>
          <w:tcPr>
            <w:tcW w:w="5848" w:type="dxa"/>
            <w:tcBorders/>
            <w:vAlign w:val="center"/>
          </w:tcPr>
          <w:p>
            <w:pPr>
              <w:pStyle w:val="TableContents"/>
              <w:bidi w:val="0"/>
              <w:spacing w:before="0" w:after="283"/>
              <w:jc w:val="left"/>
              <w:rPr/>
            </w:pPr>
            <w:r>
              <w:rPr/>
              <w:t>Address of Issuer</w:t>
            </w:r>
          </w:p>
        </w:tc>
        <w:tc>
          <w:tcPr>
            <w:tcW w:w="4357" w:type="dxa"/>
            <w:tcBorders/>
            <w:vAlign w:val="center"/>
          </w:tcPr>
          <w:p>
            <w:pPr>
              <w:pStyle w:val="TableContents"/>
              <w:bidi w:val="0"/>
              <w:spacing w:before="0" w:after="0"/>
              <w:jc w:val="left"/>
              <w:rPr/>
            </w:pPr>
            <w:r>
              <w:rPr/>
              <w:t>5501 HEADQUARTERS DRIVE</w:t>
              <w:br/>
              <w:t>PLANO</w:t>
              <w:br/>
              <w:t xml:space="preserve">TEXAS </w:t>
              <w:br/>
              <w:t>75024</w:t>
            </w:r>
          </w:p>
        </w:tc>
      </w:tr>
      <w:tr>
        <w:trPr/>
        <w:tc>
          <w:tcPr>
            <w:tcW w:w="5848" w:type="dxa"/>
            <w:tcBorders/>
            <w:vAlign w:val="center"/>
          </w:tcPr>
          <w:p>
            <w:pPr>
              <w:pStyle w:val="TableContents"/>
              <w:bidi w:val="0"/>
              <w:spacing w:before="0" w:after="283"/>
              <w:jc w:val="left"/>
              <w:rPr/>
            </w:pPr>
            <w:r>
              <w:rPr/>
              <w:t>Phone</w:t>
            </w:r>
          </w:p>
        </w:tc>
        <w:tc>
          <w:tcPr>
            <w:tcW w:w="4357" w:type="dxa"/>
            <w:tcBorders/>
            <w:vAlign w:val="center"/>
          </w:tcPr>
          <w:p>
            <w:pPr>
              <w:pStyle w:val="TableContents"/>
              <w:bidi w:val="0"/>
              <w:spacing w:before="0" w:after="0"/>
              <w:jc w:val="left"/>
              <w:rPr/>
            </w:pPr>
            <w:r>
              <w:rPr/>
              <w:t>972-801-1100</w:t>
            </w:r>
          </w:p>
        </w:tc>
      </w:tr>
      <w:tr>
        <w:trPr/>
        <w:tc>
          <w:tcPr>
            <w:tcW w:w="5848" w:type="dxa"/>
            <w:tcBorders/>
            <w:vAlign w:val="center"/>
          </w:tcPr>
          <w:p>
            <w:pPr>
              <w:pStyle w:val="TableContents"/>
              <w:bidi w:val="0"/>
              <w:spacing w:before="0" w:after="283"/>
              <w:jc w:val="left"/>
              <w:rPr/>
            </w:pPr>
            <w:r>
              <w:rPr/>
              <w:t>Name of Person for Whose Account the Securities are To Be Sold</w:t>
            </w:r>
          </w:p>
        </w:tc>
        <w:tc>
          <w:tcPr>
            <w:tcW w:w="4357" w:type="dxa"/>
            <w:tcBorders/>
            <w:vAlign w:val="center"/>
          </w:tcPr>
          <w:p>
            <w:pPr>
              <w:pStyle w:val="TableContents"/>
              <w:bidi w:val="0"/>
              <w:spacing w:before="0" w:after="0"/>
              <w:jc w:val="left"/>
              <w:rPr/>
            </w:pPr>
            <w:r>
              <w:rPr/>
              <w:t>Blasquez Anthony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8" w:type="dxa"/>
            <w:tcBorders/>
            <w:vAlign w:val="center"/>
          </w:tcPr>
          <w:p>
            <w:pPr>
              <w:pStyle w:val="TableContents"/>
              <w:bidi w:val="0"/>
              <w:spacing w:before="0" w:after="283"/>
              <w:jc w:val="left"/>
              <w:rPr/>
            </w:pPr>
            <w:r>
              <w:rPr/>
              <w:t>Relationship to Issuer</w:t>
            </w:r>
          </w:p>
        </w:tc>
        <w:tc>
          <w:tcPr>
            <w:tcW w:w="43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188565.89</w:t>
            </w:r>
          </w:p>
        </w:tc>
        <w:tc>
          <w:tcPr>
            <w:tcW w:w="1552" w:type="dxa"/>
            <w:tcBorders/>
            <w:vAlign w:val="center"/>
          </w:tcPr>
          <w:p>
            <w:pPr>
              <w:pStyle w:val="TableContents"/>
              <w:bidi w:val="0"/>
              <w:spacing w:before="0" w:after="283"/>
              <w:jc w:val="left"/>
              <w:rPr/>
            </w:pPr>
            <w:r>
              <w:rPr/>
              <w:t>58299405</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1101</w:t>
            </w:r>
          </w:p>
        </w:tc>
        <w:tc>
          <w:tcPr>
            <w:tcW w:w="1046" w:type="dxa"/>
            <w:tcBorders/>
            <w:vAlign w:val="center"/>
          </w:tcPr>
          <w:p>
            <w:pPr>
              <w:pStyle w:val="TableContents"/>
              <w:bidi w:val="0"/>
              <w:spacing w:before="0" w:after="283"/>
              <w:jc w:val="left"/>
              <w:rPr/>
            </w:pPr>
            <w:r>
              <w:rPr/>
              <w:t>02/05/2022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951</w:t>
            </w:r>
          </w:p>
        </w:tc>
        <w:tc>
          <w:tcPr>
            <w:tcW w:w="1046" w:type="dxa"/>
            <w:tcBorders/>
            <w:vAlign w:val="center"/>
          </w:tcPr>
          <w:p>
            <w:pPr>
              <w:pStyle w:val="TableContents"/>
              <w:bidi w:val="0"/>
              <w:spacing w:before="0" w:after="283"/>
              <w:jc w:val="left"/>
              <w:rPr/>
            </w:pPr>
            <w:r>
              <w:rPr/>
              <w:t>02/06/2022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696</w:t>
            </w:r>
          </w:p>
        </w:tc>
        <w:tc>
          <w:tcPr>
            <w:tcW w:w="1046" w:type="dxa"/>
            <w:tcBorders/>
            <w:vAlign w:val="center"/>
          </w:tcPr>
          <w:p>
            <w:pPr>
              <w:pStyle w:val="TableContents"/>
              <w:bidi w:val="0"/>
              <w:spacing w:before="0" w:after="283"/>
              <w:jc w:val="left"/>
              <w:rPr/>
            </w:pPr>
            <w:r>
              <w:rPr/>
              <w:t>02/14/2022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505</w:t>
            </w:r>
          </w:p>
        </w:tc>
        <w:tc>
          <w:tcPr>
            <w:tcW w:w="1046" w:type="dxa"/>
            <w:tcBorders/>
            <w:vAlign w:val="center"/>
          </w:tcPr>
          <w:p>
            <w:pPr>
              <w:pStyle w:val="TableContents"/>
              <w:bidi w:val="0"/>
              <w:spacing w:before="0" w:after="283"/>
              <w:jc w:val="left"/>
              <w:rPr/>
            </w:pPr>
            <w:r>
              <w:rPr/>
              <w:t>02/26/2022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1240</w:t>
            </w:r>
          </w:p>
        </w:tc>
        <w:tc>
          <w:tcPr>
            <w:tcW w:w="1046" w:type="dxa"/>
            <w:tcBorders/>
            <w:vAlign w:val="center"/>
          </w:tcPr>
          <w:p>
            <w:pPr>
              <w:pStyle w:val="TableContents"/>
              <w:bidi w:val="0"/>
              <w:spacing w:before="0" w:after="283"/>
              <w:jc w:val="left"/>
              <w:rPr/>
            </w:pPr>
            <w:r>
              <w:rPr/>
              <w:t>04/01/2022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2212</w:t>
            </w:r>
          </w:p>
        </w:tc>
        <w:tc>
          <w:tcPr>
            <w:tcW w:w="1046" w:type="dxa"/>
            <w:tcBorders/>
            <w:vAlign w:val="center"/>
          </w:tcPr>
          <w:p>
            <w:pPr>
              <w:pStyle w:val="TableContents"/>
              <w:bidi w:val="0"/>
              <w:spacing w:before="0" w:after="283"/>
              <w:jc w:val="left"/>
              <w:rPr/>
            </w:pPr>
            <w:r>
              <w:rPr/>
              <w:t>02/13/2024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1653</w:t>
            </w:r>
          </w:p>
        </w:tc>
        <w:tc>
          <w:tcPr>
            <w:tcW w:w="1046" w:type="dxa"/>
            <w:tcBorders/>
            <w:vAlign w:val="center"/>
          </w:tcPr>
          <w:p>
            <w:pPr>
              <w:pStyle w:val="TableContents"/>
              <w:bidi w:val="0"/>
              <w:spacing w:before="0" w:after="283"/>
              <w:jc w:val="left"/>
              <w:rPr/>
            </w:pPr>
            <w:r>
              <w:rPr/>
              <w:t>02/24/2024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1091</w:t>
            </w:r>
          </w:p>
        </w:tc>
        <w:tc>
          <w:tcPr>
            <w:tcW w:w="1046" w:type="dxa"/>
            <w:tcBorders/>
            <w:vAlign w:val="center"/>
          </w:tcPr>
          <w:p>
            <w:pPr>
              <w:pStyle w:val="TableContents"/>
              <w:bidi w:val="0"/>
              <w:spacing w:before="0" w:after="283"/>
              <w:jc w:val="left"/>
              <w:rPr/>
            </w:pPr>
            <w:r>
              <w:rPr/>
              <w:t>02/25/2024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520</w:t>
            </w:r>
          </w:p>
        </w:tc>
        <w:tc>
          <w:tcPr>
            <w:tcW w:w="1046" w:type="dxa"/>
            <w:tcBorders/>
            <w:vAlign w:val="center"/>
          </w:tcPr>
          <w:p>
            <w:pPr>
              <w:pStyle w:val="TableContents"/>
              <w:bidi w:val="0"/>
              <w:spacing w:before="0" w:after="283"/>
              <w:jc w:val="left"/>
              <w:rPr/>
            </w:pPr>
            <w:r>
              <w:rPr/>
              <w:t>02/26/2024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w:t>
            </w:r>
          </w:p>
        </w:tc>
        <w:tc>
          <w:tcPr>
            <w:tcW w:w="1046" w:type="dxa"/>
            <w:tcBorders/>
            <w:vAlign w:val="center"/>
          </w:tcPr>
          <w:p>
            <w:pPr>
              <w:pStyle w:val="TableContents"/>
              <w:bidi w:val="0"/>
              <w:spacing w:before="0" w:after="283"/>
              <w:jc w:val="left"/>
              <w:rPr/>
            </w:pPr>
            <w:r>
              <w:rPr/>
              <w:t>02/11/2025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/s/Wade Moss, as a duly authorized representative of Fidelity Brokerage Services LLC, as attorney-in-fact for Anthony Blasquez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3601</Characters>
  <CharactersWithSpaces>4148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