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 </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r>
        <w:rPr>
          <w:rFonts w:ascii="Times New Roman" w:cs="Times New Roman" w:eastAsia="Times New Roman" w:hAnsi="Times New Roman"/>
          <w:sz w:val="18"/>
          <w:szCs w:val="18"/>
          <w:color w:val="auto"/>
        </w:rPr>
        <w:t> </w:t>
      </w:r>
    </w:p>
    <w:p>
      <w:pPr>
        <w:spacing w:after="0" w:line="6"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7"/>
          <w:szCs w:val="17"/>
          <w:b w:val="1"/>
          <w:bCs w:val="1"/>
          <w:color w:val="auto"/>
        </w:rPr>
        <w:t>Registration No. 333-_____</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50165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r>
        <w:rPr>
          <w:rFonts w:ascii="Times New Roman" w:cs="Times New Roman" w:eastAsia="Times New Roman" w:hAnsi="Times New Roman"/>
          <w:sz w:val="32"/>
          <w:szCs w:val="32"/>
          <w:color w:val="auto"/>
        </w:rPr>
        <w:t> </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37465</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r>
        <w:rPr>
          <w:rFonts w:ascii="Times New Roman" w:cs="Times New Roman" w:eastAsia="Times New Roman" w:hAnsi="Times New Roman"/>
          <w:sz w:val="32"/>
          <w:szCs w:val="32"/>
          <w:color w:val="auto"/>
        </w:rPr>
        <w:t> </w:t>
      </w: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500" w:type="dxa"/>
            <w:vAlign w:val="bottom"/>
            <w:gridSpan w:val="2"/>
          </w:tcPr>
          <w:p>
            <w:pPr>
              <w:jc w:val="center"/>
              <w:ind w:right="68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w w:val="98"/>
              </w:rPr>
              <w:t>UNDER</w:t>
            </w:r>
          </w:p>
        </w:tc>
        <w:tc>
          <w:tcPr>
            <w:tcW w:w="1380" w:type="dxa"/>
            <w:vAlign w:val="bottom"/>
          </w:tcPr>
          <w:p>
            <w:pPr>
              <w:spacing w:after="0"/>
              <w:rPr>
                <w:sz w:val="16"/>
                <w:szCs w:val="16"/>
                <w:color w:val="auto"/>
              </w:rPr>
            </w:pPr>
          </w:p>
        </w:tc>
      </w:tr>
      <w:tr>
        <w:trPr>
          <w:trHeight w:val="218"/>
        </w:trPr>
        <w:tc>
          <w:tcPr>
            <w:tcW w:w="4220" w:type="dxa"/>
            <w:vAlign w:val="bottom"/>
          </w:tcPr>
          <w:p>
            <w:pPr>
              <w:spacing w:after="0"/>
              <w:rPr>
                <w:sz w:val="18"/>
                <w:szCs w:val="18"/>
                <w:color w:val="auto"/>
              </w:rPr>
            </w:pPr>
          </w:p>
        </w:tc>
        <w:tc>
          <w:tcPr>
            <w:tcW w:w="35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i w:val="1"/>
                <w:iCs w:val="1"/>
                <w:color w:val="auto"/>
                <w:w w:val="98"/>
              </w:rPr>
              <w:t>THE SECURITIES ACT OF 1933</w:t>
            </w:r>
          </w:p>
        </w:tc>
        <w:tc>
          <w:tcPr>
            <w:tcW w:w="1380" w:type="dxa"/>
            <w:vAlign w:val="bottom"/>
          </w:tcPr>
          <w:p>
            <w:pPr>
              <w:spacing w:after="0"/>
              <w:rPr>
                <w:sz w:val="18"/>
                <w:szCs w:val="18"/>
                <w:color w:val="auto"/>
              </w:rPr>
            </w:pPr>
          </w:p>
        </w:tc>
      </w:tr>
      <w:tr>
        <w:trPr>
          <w:trHeight w:val="233"/>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20"/>
                <w:szCs w:val="20"/>
                <w:color w:val="auto"/>
              </w:rPr>
            </w:pPr>
          </w:p>
        </w:tc>
      </w:tr>
      <w:tr>
        <w:trPr>
          <w:trHeight w:val="53"/>
        </w:trPr>
        <w:tc>
          <w:tcPr>
            <w:tcW w:w="42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27"/>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19"/>
                <w:szCs w:val="19"/>
                <w:color w:val="auto"/>
              </w:rPr>
            </w:pPr>
          </w:p>
        </w:tc>
      </w:tr>
      <w:tr>
        <w:trPr>
          <w:trHeight w:val="385"/>
        </w:trPr>
        <w:tc>
          <w:tcPr>
            <w:tcW w:w="7720" w:type="dxa"/>
            <w:vAlign w:val="bottom"/>
            <w:gridSpan w:val="3"/>
          </w:tcPr>
          <w:p>
            <w:pPr>
              <w:jc w:val="center"/>
              <w:ind w:left="3485"/>
              <w:spacing w:after="0"/>
              <w:rPr>
                <w:sz w:val="20"/>
                <w:szCs w:val="20"/>
                <w:color w:val="auto"/>
              </w:rPr>
            </w:pPr>
            <w:r>
              <w:rPr>
                <w:rFonts w:ascii="Times New Roman" w:cs="Times New Roman" w:eastAsia="Times New Roman" w:hAnsi="Times New Roman"/>
                <w:sz w:val="32"/>
                <w:szCs w:val="32"/>
                <w:b w:val="1"/>
                <w:bCs w:val="1"/>
                <w:color w:val="auto"/>
                <w:w w:val="99"/>
              </w:rPr>
              <w:t>UPBOUND GROUP, INC.</w:t>
            </w:r>
            <w:r>
              <w:rPr>
                <w:rFonts w:ascii="Times New Roman" w:cs="Times New Roman" w:eastAsia="Times New Roman" w:hAnsi="Times New Roman"/>
                <w:sz w:val="32"/>
                <w:szCs w:val="32"/>
                <w:color w:val="auto"/>
                <w:w w:val="99"/>
              </w:rPr>
              <w:t> </w:t>
            </w:r>
          </w:p>
        </w:tc>
        <w:tc>
          <w:tcPr>
            <w:tcW w:w="1380" w:type="dxa"/>
            <w:vAlign w:val="bottom"/>
          </w:tcPr>
          <w:p>
            <w:pPr>
              <w:spacing w:after="0"/>
              <w:rPr>
                <w:sz w:val="24"/>
                <w:szCs w:val="24"/>
                <w:color w:val="auto"/>
              </w:rPr>
            </w:pPr>
          </w:p>
        </w:tc>
      </w:tr>
      <w:tr>
        <w:trPr>
          <w:trHeight w:val="218"/>
        </w:trPr>
        <w:tc>
          <w:tcPr>
            <w:tcW w:w="7720" w:type="dxa"/>
            <w:vAlign w:val="bottom"/>
            <w:gridSpan w:val="3"/>
          </w:tcPr>
          <w:p>
            <w:pPr>
              <w:jc w:val="center"/>
              <w:ind w:left="3445"/>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380" w:type="dxa"/>
            <w:vAlign w:val="bottom"/>
          </w:tcPr>
          <w:p>
            <w:pPr>
              <w:spacing w:after="0"/>
              <w:rPr>
                <w:sz w:val="18"/>
                <w:szCs w:val="18"/>
                <w:color w:val="auto"/>
              </w:rPr>
            </w:pPr>
          </w:p>
        </w:tc>
      </w:tr>
      <w:tr>
        <w:trPr>
          <w:trHeight w:val="233"/>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20"/>
                <w:szCs w:val="20"/>
                <w:color w:val="auto"/>
              </w:rPr>
            </w:pPr>
          </w:p>
        </w:tc>
      </w:tr>
      <w:tr>
        <w:trPr>
          <w:trHeight w:val="53"/>
        </w:trPr>
        <w:tc>
          <w:tcPr>
            <w:tcW w:w="42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2"/>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21"/>
                <w:szCs w:val="21"/>
                <w:color w:val="auto"/>
              </w:rPr>
            </w:pPr>
          </w:p>
        </w:tc>
      </w:tr>
      <w:tr>
        <w:trPr>
          <w:trHeight w:val="218"/>
        </w:trPr>
        <w:tc>
          <w:tcPr>
            <w:tcW w:w="772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45-0491516</w:t>
            </w:r>
          </w:p>
        </w:tc>
      </w:tr>
      <w:tr>
        <w:trPr>
          <w:trHeight w:val="214"/>
        </w:trPr>
        <w:tc>
          <w:tcPr>
            <w:tcW w:w="772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772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9"/>
        </w:trPr>
        <w:tc>
          <w:tcPr>
            <w:tcW w:w="772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7"/>
              </w:rPr>
              <w:t>5501 Headquarters Drive, Plano, Texas</w:t>
            </w:r>
          </w:p>
        </w:tc>
        <w:tc>
          <w:tcPr>
            <w:tcW w:w="13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75024</w:t>
            </w:r>
          </w:p>
        </w:tc>
      </w:tr>
      <w:tr>
        <w:trPr>
          <w:trHeight w:val="214"/>
        </w:trPr>
        <w:tc>
          <w:tcPr>
            <w:tcW w:w="772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3"/>
        </w:trPr>
        <w:tc>
          <w:tcPr>
            <w:tcW w:w="4220" w:type="dxa"/>
            <w:vAlign w:val="bottom"/>
          </w:tcPr>
          <w:p>
            <w:pPr>
              <w:spacing w:after="0"/>
              <w:rPr>
                <w:sz w:val="20"/>
                <w:szCs w:val="20"/>
                <w:color w:val="auto"/>
              </w:rPr>
            </w:pPr>
          </w:p>
        </w:tc>
        <w:tc>
          <w:tcPr>
            <w:tcW w:w="35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20"/>
                <w:szCs w:val="20"/>
                <w:color w:val="auto"/>
              </w:rPr>
            </w:pPr>
          </w:p>
        </w:tc>
      </w:tr>
      <w:tr>
        <w:trPr>
          <w:trHeight w:val="53"/>
        </w:trPr>
        <w:tc>
          <w:tcPr>
            <w:tcW w:w="42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65"/>
        </w:trPr>
        <w:tc>
          <w:tcPr>
            <w:tcW w:w="4220" w:type="dxa"/>
            <w:vAlign w:val="bottom"/>
          </w:tcPr>
          <w:p>
            <w:pPr>
              <w:spacing w:after="0"/>
              <w:rPr>
                <w:sz w:val="23"/>
                <w:szCs w:val="23"/>
                <w:color w:val="auto"/>
              </w:rPr>
            </w:pPr>
          </w:p>
        </w:tc>
        <w:tc>
          <w:tcPr>
            <w:tcW w:w="35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tcPr>
          <w:p>
            <w:pPr>
              <w:spacing w:after="0"/>
              <w:rPr>
                <w:sz w:val="23"/>
                <w:szCs w:val="23"/>
                <w:color w:val="auto"/>
              </w:rPr>
            </w:pPr>
          </w:p>
        </w:tc>
      </w:tr>
      <w:tr>
        <w:trPr>
          <w:trHeight w:val="214"/>
        </w:trPr>
        <w:tc>
          <w:tcPr>
            <w:tcW w:w="7720" w:type="dxa"/>
            <w:vAlign w:val="bottom"/>
            <w:gridSpan w:val="3"/>
          </w:tcPr>
          <w:p>
            <w:pPr>
              <w:jc w:val="center"/>
              <w:ind w:left="3445"/>
              <w:spacing w:after="0"/>
              <w:rPr>
                <w:sz w:val="20"/>
                <w:szCs w:val="20"/>
                <w:color w:val="auto"/>
              </w:rPr>
            </w:pPr>
            <w:r>
              <w:rPr>
                <w:rFonts w:ascii="Times New Roman" w:cs="Times New Roman" w:eastAsia="Times New Roman" w:hAnsi="Times New Roman"/>
                <w:sz w:val="18"/>
                <w:szCs w:val="18"/>
                <w:b w:val="1"/>
                <w:bCs w:val="1"/>
                <w:color w:val="auto"/>
                <w:w w:val="98"/>
              </w:rPr>
              <w:t>Upbound Group, Inc. 2026 Long-Term Incentive Plan</w:t>
            </w:r>
          </w:p>
        </w:tc>
        <w:tc>
          <w:tcPr>
            <w:tcW w:w="1380" w:type="dxa"/>
            <w:vAlign w:val="bottom"/>
          </w:tcPr>
          <w:p>
            <w:pPr>
              <w:spacing w:after="0"/>
              <w:rPr>
                <w:sz w:val="18"/>
                <w:szCs w:val="18"/>
                <w:color w:val="auto"/>
              </w:rPr>
            </w:pPr>
          </w:p>
        </w:tc>
      </w:tr>
      <w:tr>
        <w:trPr>
          <w:trHeight w:val="218"/>
        </w:trPr>
        <w:tc>
          <w:tcPr>
            <w:tcW w:w="4220" w:type="dxa"/>
            <w:vAlign w:val="bottom"/>
          </w:tcPr>
          <w:p>
            <w:pPr>
              <w:spacing w:after="0"/>
              <w:rPr>
                <w:sz w:val="18"/>
                <w:szCs w:val="18"/>
                <w:color w:val="auto"/>
              </w:rPr>
            </w:pPr>
          </w:p>
        </w:tc>
        <w:tc>
          <w:tcPr>
            <w:tcW w:w="35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(Full title of the plan)</w:t>
            </w:r>
          </w:p>
        </w:tc>
        <w:tc>
          <w:tcPr>
            <w:tcW w:w="1380" w:type="dxa"/>
            <w:vAlign w:val="bottom"/>
          </w:tcPr>
          <w:p>
            <w:pPr>
              <w:spacing w:after="0"/>
              <w:rPr>
                <w:sz w:val="18"/>
                <w:szCs w:val="18"/>
                <w:color w:val="auto"/>
              </w:rPr>
            </w:pPr>
          </w:p>
        </w:tc>
      </w:tr>
      <w:tr>
        <w:trPr>
          <w:trHeight w:val="233"/>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33655</wp:posOffset>
            </wp:positionV>
            <wp:extent cx="179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Bryan Pechersky</w:t>
      </w: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 General Counsel and Corporate Secretary</w:t>
      </w: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5501 Headquarters Drive</w:t>
      </w: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Plano, Texas 75024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38100</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(972) 801-1100</w:t>
      </w: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38100</wp:posOffset>
            </wp:positionV>
            <wp:extent cx="179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100" w:type="dxa"/>
        <w:tblCellMar>
          <w:top w:w="0" w:type="dxa"/>
          <w:left w:w="0" w:type="dxa"/>
          <w:bottom w:w="0" w:type="dxa"/>
          <w:right w:w="0" w:type="dxa"/>
        </w:tblCellMar>
      </w:tblPr>
      <w:tr>
        <w:trPr>
          <w:trHeight w:val="166"/>
        </w:trPr>
        <w:tc>
          <w:tcPr>
            <w:tcW w:w="306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1440"/>
              <w:spacing w:after="0" w:line="166"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40"/>
              <w:spacing w:after="0" w:line="167" w:lineRule="exact"/>
              <w:rPr>
                <w:sz w:val="20"/>
                <w:szCs w:val="20"/>
                <w:color w:val="auto"/>
              </w:rPr>
            </w:pPr>
            <w:r>
              <w:rPr>
                <w:rFonts w:ascii="Times New Roman" w:cs="Times New Roman" w:eastAsia="Times New Roman" w:hAnsi="Times New Roman"/>
                <w:sz w:val="18"/>
                <w:szCs w:val="18"/>
                <w:color w:val="auto"/>
              </w:rPr>
              <w:t>Accelerated filer</w:t>
            </w:r>
          </w:p>
        </w:tc>
        <w:tc>
          <w:tcPr>
            <w:tcW w:w="2040" w:type="dxa"/>
            <w:vAlign w:val="bottom"/>
          </w:tcPr>
          <w:p>
            <w:pPr>
              <w:ind w:left="1880"/>
              <w:spacing w:after="0" w:line="166"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19" w:right="339" w:bottom="1440" w:gutter="0" w:footer="0" w:header="0"/>
        </w:sect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Upbound Group, Inc. (the “Registrant”) is filing this Registration Statement on Form S-8 (this “Registration Statement”) with the U.S. Securities and Exchange Commission (the “Commission”) to register an aggregate of 4,590,636 shares of the Registrant’s common stock, par value $0.01 per share (the “Common Stock”), for issuance under the Upbound Group, Inc. 2026 Long-Term Incentive Plan, as amended (the “Plan”).  </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20"/>
          </w:cols>
          <w:pgMar w:left="320" w:top="219"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320" w:firstLine="641"/>
        <w:spacing w:after="0" w:line="250" w:lineRule="auto"/>
        <w:rPr>
          <w:sz w:val="20"/>
          <w:szCs w:val="20"/>
          <w:color w:val="auto"/>
        </w:rPr>
      </w:pPr>
      <w:r>
        <w:rPr>
          <w:rFonts w:ascii="Times New Roman" w:cs="Times New Roman" w:eastAsia="Times New Roman" w:hAnsi="Times New Roman"/>
          <w:sz w:val="18"/>
          <w:szCs w:val="18"/>
          <w:color w:val="auto"/>
        </w:rPr>
        <w:t>As permitted by Rule 424 under the Securities Act of 1933, as amended (the “Securities Act”), this Registration Statement omits the information specified by Part I of Form S-8. The documents containing the information specified by Part I of Form S-8 will be delivered to the participants in the Plan covered by this Registration Statement, as required by Rule 428. Such documents are not being filed with the Commission as part of this Registration Statement or as prospectuses or prospectus supplements pursuant to Rule 424 of the Securities Act.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documents filed by the Registrant with the Commission pursuant to the Securities Exchange Act of 1934, as amended (the “Exchange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are incorporated into this Registration Statement by reference: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hyperlink r:id="rId19">
        <w:r>
          <w:rPr>
            <w:rFonts w:ascii="Times New Roman" w:cs="Times New Roman" w:eastAsia="Times New Roman" w:hAnsi="Times New Roman"/>
            <w:sz w:val="18"/>
            <w:szCs w:val="18"/>
            <w:u w:val="single" w:color="auto"/>
            <w:color w:val="0000EE"/>
          </w:rPr>
          <w:t>The Registrant’s Annual Report on Form 10-K for the fiscal year ended December 31, 2025, filed on February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information</w:t>
      </w:r>
    </w:p>
    <w:p>
      <w:pPr>
        <w:spacing w:after="0" w:line="7" w:lineRule="exact"/>
        <w:rPr>
          <w:sz w:val="20"/>
          <w:szCs w:val="20"/>
          <w:color w:val="auto"/>
        </w:rPr>
      </w:pPr>
    </w:p>
    <w:p>
      <w:pPr>
        <w:spacing w:after="0"/>
        <w:rPr>
          <w:rFonts w:ascii="Times New Roman" w:cs="Times New Roman" w:eastAsia="Times New Roman" w:hAnsi="Times New Roman"/>
          <w:sz w:val="18"/>
          <w:szCs w:val="18"/>
          <w:color w:val="auto"/>
        </w:rPr>
      </w:pPr>
      <w:hyperlink r:id="rId20">
        <w:r>
          <w:rPr>
            <w:rFonts w:ascii="Times New Roman" w:cs="Times New Roman" w:eastAsia="Times New Roman" w:hAnsi="Times New Roman"/>
            <w:sz w:val="18"/>
            <w:szCs w:val="18"/>
            <w:color w:val="auto"/>
          </w:rPr>
          <w:t xml:space="preserve">specifically incorporated therein by reference from the </w:t>
        </w:r>
        <w:r>
          <w:rPr>
            <w:rFonts w:ascii="Times New Roman" w:cs="Times New Roman" w:eastAsia="Times New Roman" w:hAnsi="Times New Roman"/>
            <w:sz w:val="18"/>
            <w:szCs w:val="18"/>
            <w:u w:val="single" w:color="auto"/>
            <w:color w:val="0000EE"/>
          </w:rPr>
          <w:t>Definitive Proxy Statement on Schedule 14A for the 2026 Annual Meeting of Stockholders, filed on</w:t>
        </w:r>
      </w:hyperlink>
    </w:p>
    <w:p>
      <w:pPr>
        <w:spacing w:after="0" w:line="7" w:lineRule="exact"/>
        <w:rPr>
          <w:sz w:val="20"/>
          <w:szCs w:val="20"/>
          <w:color w:val="auto"/>
        </w:rPr>
      </w:pPr>
    </w:p>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The Registrant’s </w:t>
      </w:r>
      <w:hyperlink r:id="rId21">
        <w:r>
          <w:rPr>
            <w:rFonts w:ascii="Times New Roman" w:cs="Times New Roman" w:eastAsia="Times New Roman" w:hAnsi="Times New Roman"/>
            <w:sz w:val="18"/>
            <w:szCs w:val="18"/>
            <w:u w:val="single" w:color="auto"/>
            <w:color w:val="0000EE"/>
          </w:rPr>
          <w:t>Quarterly Report on Form 10-Q for the quarter ended March 31, 2026, filed on May 1, 2026;</w:t>
        </w:r>
      </w:hyperlink>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Registrant’s Current Reports on Form 8-K, filed on </w:t>
      </w:r>
      <w:hyperlink r:id="rId22">
        <w:r>
          <w:rPr>
            <w:rFonts w:ascii="Times New Roman" w:cs="Times New Roman" w:eastAsia="Times New Roman" w:hAnsi="Times New Roman"/>
            <w:sz w:val="18"/>
            <w:szCs w:val="18"/>
            <w:u w:val="single" w:color="auto"/>
            <w:color w:val="0000EE"/>
          </w:rPr>
          <w:t>May 19,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June 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information furnished in such reports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Item 2.02 or Item 7.01 or any corresponding Item 9.01);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240" w:firstLine="64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Description of the Common Stock contained in </w:t>
      </w:r>
      <w:hyperlink r:id="rId2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Registration Statement on Form S-3, filed on February 20, 2025, including any amendments or reports filed for the purpose of updating such documents.  </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subsequent to the filing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and prior to the filing of a post-effective amendment that indicates that all securities offered have been sold or which deregisters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securities then remaining unsold shall be deemed to be incorporated by reference in this Registration Statement and to be a part hereof from the date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of such documents, provided, however, that the Registrant is not incorporating by reference any information in these documents or filings that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“furnished” to and not filed with the Commission.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60" w:firstLine="641"/>
        <w:spacing w:after="0" w:line="250"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Charter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240" w:firstLine="641"/>
        <w:spacing w:after="0" w:line="249" w:lineRule="auto"/>
        <w:rPr>
          <w:sz w:val="20"/>
          <w:szCs w:val="20"/>
          <w:color w:val="auto"/>
        </w:rPr>
      </w:pPr>
      <w:r>
        <w:rPr>
          <w:rFonts w:ascii="Times New Roman" w:cs="Times New Roman" w:eastAsia="Times New Roman" w:hAnsi="Times New Roman"/>
          <w:sz w:val="18"/>
          <w:szCs w:val="18"/>
          <w:color w:val="auto"/>
        </w:rPr>
        <w:t>The Registrant’s certificate of incorporation (as amended from time to time, the “Charter”) provides that the Registrant’s directors or officers will not be personally liable to the Registrant or its stockholders for monetary damages for breach of fiduciary duty as a director or officer, except to the extent such exemption from liability or limitation thereof is not permitted under the Delaware General Corporation Law (the “DGCL”). Any amendment, modification or repeal of this provision of the Charter will not adversely affect any right or protection of any of the Registrant’s directors or officers thereunder in respect of any act or omission occurring prior to the time of such amendment, modification or repeal.  </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40" w:firstLine="641"/>
        <w:spacing w:after="0" w:line="247" w:lineRule="auto"/>
        <w:rPr>
          <w:sz w:val="20"/>
          <w:szCs w:val="20"/>
          <w:color w:val="auto"/>
        </w:rPr>
      </w:pPr>
      <w:r>
        <w:rPr>
          <w:rFonts w:ascii="Times New Roman" w:cs="Times New Roman" w:eastAsia="Times New Roman" w:hAnsi="Times New Roman"/>
          <w:sz w:val="18"/>
          <w:szCs w:val="18"/>
          <w:color w:val="auto"/>
        </w:rPr>
        <w:t>The Registrant’s amended and restated bylaws (the “Bylaws”) provide that it will indemnify its directors and officers upon request and approval to the fullest extent authorized by the DGCL or any other applicable law. Such indemnity may be against reasonable expenses, including attorneys’ fees, and other items incident to any suit or proceeding (as prescribed in the Bylaws) with respect to which the director or officer is a witness or a party. In addition, upon request and approval, an officer or director shall be advanced expenses (as prescribed in the Bylaws) within ten days after requesting them to the fullest extent permitted by Section 145(e) of the DGCL.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145 of the DGCL provides that a corporation has the power to indemnify a director, officer, employee or agent of the corporation and certain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persons serving at the request of the corporation in related capacities against expenses (including attorneys’ fees), judgments, fines and amounts paid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settlements actually and reasonably incurred by the person in connection with an action, suit or proceeding to which he or she is or is threatened to be made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by reason of such position, if such person acted in good faith and in a manner he or she reasonably believed to be in or not opposed to the best interests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corporation, and, in any criminal action or proceeding, had no reasonable cause to believe his or her conduct was unlawful, except that, in the case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actions brought by or in the right of the corporation, no indemnification shall be made with respect to any claim, issue or matter as to which such person shall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adjudged to be liable to the corporation unless and only to the extent that the Court of Chancery or other adjudicating court determines that,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 adjudication of liability but in view of all of the circumstances of the case, such person is fairly and reasonably entitled to indemnity for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which the Court of Chancery or such other court shall deem proper. Section 145 of the DGCL also provides that the indemnification provided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shall not be deemed exclusive of any other rights to which those seeking indemnification may otherwise be entitled. In addition, we maintain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 liability insurance policy.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foregoing summaries are necessarily subject to the complete text of the statute, the Charter and the Bylaws and are qualified in their entirety by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thereto.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tbl>
      <w:tblPr>
        <w:tblLayout w:type="fixed"/>
        <w:tblInd w:w="0" w:type="dxa"/>
        <w:tblCellMar>
          <w:top w:w="0" w:type="dxa"/>
          <w:left w:w="0" w:type="dxa"/>
          <w:bottom w:w="0" w:type="dxa"/>
          <w:right w:w="0" w:type="dxa"/>
        </w:tblCellMar>
      </w:tblPr>
      <w:tr>
        <w:trPr>
          <w:trHeight w:val="198"/>
        </w:trPr>
        <w:tc>
          <w:tcPr>
            <w:tcW w:w="1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gridSpan w:val="16"/>
            <w:vMerge w:val="restart"/>
          </w:tcPr>
          <w:p>
            <w:pPr>
              <w:spacing w:after="0"/>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 xml:space="preserve">  </w:t>
            </w:r>
            <w:hyperlink r:id="rId27">
              <w:r>
                <w:rPr>
                  <w:rFonts w:ascii="Times New Roman" w:cs="Times New Roman" w:eastAsia="Times New Roman" w:hAnsi="Times New Roman"/>
                  <w:sz w:val="18"/>
                  <w:szCs w:val="18"/>
                  <w:color w:val="0000EE"/>
                  <w:w w:val="98"/>
                </w:rPr>
                <w:t>Restated Certificate of Incorporation of the Registrant, dated as of December 5, 2024 (incorporated herein by reference to Exhibit 3.1 to the</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jc w:val="center"/>
              <w:ind w:left="355"/>
              <w:spacing w:after="0" w:line="141" w:lineRule="exact"/>
              <w:rPr>
                <w:rFonts w:ascii="Times New Roman" w:cs="Times New Roman" w:eastAsia="Times New Roman" w:hAnsi="Times New Roman"/>
                <w:sz w:val="16"/>
                <w:szCs w:val="16"/>
                <w:color w:val="0000EE"/>
              </w:rPr>
            </w:pPr>
            <w:hyperlink r:id="rId27">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460" w:type="dxa"/>
            <w:vAlign w:val="bottom"/>
          </w:tcPr>
          <w:p>
            <w:pPr>
              <w:spacing w:after="0"/>
              <w:rPr>
                <w:sz w:val="15"/>
                <w:szCs w:val="15"/>
                <w:color w:val="auto"/>
              </w:rPr>
            </w:pPr>
          </w:p>
        </w:tc>
        <w:tc>
          <w:tcPr>
            <w:tcW w:w="1002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Borders>
              <w:top w:val="single" w:sz="8" w:color="0000EE"/>
            </w:tcBorders>
            <w:gridSpan w:val="15"/>
          </w:tcPr>
          <w:p>
            <w:pPr>
              <w:spacing w:after="0" w:line="17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Registrant’s Registration Statement on Form S-3 dated as of February 20, 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460" w:type="dxa"/>
            <w:vAlign w:val="bottom"/>
            <w:gridSpan w:val="2"/>
          </w:tcPr>
          <w:p>
            <w:pPr>
              <w:spacing w:after="0"/>
              <w:rPr>
                <w:sz w:val="16"/>
                <w:szCs w:val="16"/>
                <w:color w:val="auto"/>
              </w:rPr>
            </w:pPr>
          </w:p>
        </w:tc>
        <w:tc>
          <w:tcPr>
            <w:tcW w:w="220" w:type="dxa"/>
            <w:vAlign w:val="bottom"/>
          </w:tcPr>
          <w:p>
            <w:pPr>
              <w:jc w:val="center"/>
              <w:spacing w:after="0" w:line="192" w:lineRule="exact"/>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16"/>
                <w:szCs w:val="16"/>
                <w:color w:val="auto"/>
              </w:rPr>
            </w:pPr>
          </w:p>
        </w:tc>
        <w:tc>
          <w:tcPr>
            <w:tcW w:w="10020" w:type="dxa"/>
            <w:vAlign w:val="bottom"/>
            <w:gridSpan w:val="16"/>
          </w:tcPr>
          <w:p>
            <w:pPr>
              <w:spacing w:after="0" w:line="19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color w:val="0000EE"/>
                </w:rPr>
                <w:t>Amended and Restated Bylaws of the Registrant (incorporated herein by reference to Exhibit 10.3 to the Registrant’s Current Report on</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6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8-K dated as of June 4, 2024).</w:t>
              </w:r>
            </w:hyperlink>
          </w:p>
        </w:tc>
        <w:tc>
          <w:tcPr>
            <w:tcW w:w="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460" w:type="dxa"/>
            <w:vAlign w:val="bottom"/>
            <w:gridSpan w:val="2"/>
          </w:tcPr>
          <w:p>
            <w:pPr>
              <w:spacing w:after="0"/>
              <w:rPr>
                <w:sz w:val="16"/>
                <w:szCs w:val="16"/>
                <w:color w:val="auto"/>
              </w:rPr>
            </w:pPr>
          </w:p>
        </w:tc>
        <w:tc>
          <w:tcPr>
            <w:tcW w:w="220" w:type="dxa"/>
            <w:vAlign w:val="bottom"/>
          </w:tcPr>
          <w:p>
            <w:pPr>
              <w:jc w:val="center"/>
              <w:spacing w:after="0" w:line="192"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16"/>
                <w:szCs w:val="16"/>
                <w:color w:val="auto"/>
              </w:rPr>
            </w:pPr>
          </w:p>
        </w:tc>
        <w:tc>
          <w:tcPr>
            <w:tcW w:w="10020" w:type="dxa"/>
            <w:vAlign w:val="bottom"/>
            <w:gridSpan w:val="16"/>
          </w:tcPr>
          <w:p>
            <w:pPr>
              <w:spacing w:after="0" w:line="19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color w:val="0000EE"/>
                </w:rPr>
                <w:t>The description of the Registrant’s common stock, par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0.01, contained as Exhibit 4.1 to the Registrant’s Registration Statement on</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Form S-3, filed with the SEC on February 20, 2025.</w:t>
              </w:r>
            </w:hyperlink>
          </w:p>
        </w:tc>
        <w:tc>
          <w:tcPr>
            <w:tcW w:w="6100" w:type="dxa"/>
            <w:vAlign w:val="bottom"/>
            <w:tcBorders>
              <w:top w:val="single" w:sz="8" w:color="0000EE"/>
            </w:tcBorders>
            <w:gridSpan w:val="9"/>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680" w:type="dxa"/>
            <w:vAlign w:val="bottom"/>
            <w:gridSpan w:val="3"/>
          </w:tcPr>
          <w:p>
            <w:pPr>
              <w:jc w:val="center"/>
              <w:ind w:left="371"/>
              <w:spacing w:after="0" w:line="192"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60" w:type="dxa"/>
            <w:vAlign w:val="bottom"/>
          </w:tcPr>
          <w:p>
            <w:pPr>
              <w:spacing w:after="0"/>
              <w:rPr>
                <w:sz w:val="16"/>
                <w:szCs w:val="16"/>
                <w:color w:val="auto"/>
              </w:rPr>
            </w:pPr>
          </w:p>
        </w:tc>
        <w:tc>
          <w:tcPr>
            <w:tcW w:w="10020" w:type="dxa"/>
            <w:vAlign w:val="bottom"/>
            <w:gridSpan w:val="16"/>
          </w:tcPr>
          <w:p>
            <w:pPr>
              <w:spacing w:after="0" w:line="192" w:lineRule="exact"/>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 xml:space="preserve">  </w:t>
            </w:r>
            <w:hyperlink r:id="rId29">
              <w:r>
                <w:rPr>
                  <w:rFonts w:ascii="Times New Roman" w:cs="Times New Roman" w:eastAsia="Times New Roman" w:hAnsi="Times New Roman"/>
                  <w:sz w:val="18"/>
                  <w:szCs w:val="18"/>
                  <w:color w:val="0000EE"/>
                  <w:w w:val="98"/>
                </w:rPr>
                <w:t>Upbound Group, Inc. 2026 Long-Term Incentive Plan (incorporated herein by reference to Annex B of the Registrant’s Proxy Statement on</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Schedule 14A, dated as of April 21, 2026).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460" w:type="dxa"/>
            <w:vAlign w:val="bottom"/>
            <w:gridSpan w:val="2"/>
          </w:tcPr>
          <w:p>
            <w:pPr>
              <w:spacing w:after="0"/>
              <w:rPr>
                <w:sz w:val="16"/>
                <w:szCs w:val="16"/>
                <w:color w:val="auto"/>
              </w:rPr>
            </w:pPr>
          </w:p>
        </w:tc>
        <w:tc>
          <w:tcPr>
            <w:tcW w:w="220" w:type="dxa"/>
            <w:vAlign w:val="bottom"/>
          </w:tcPr>
          <w:p>
            <w:pPr>
              <w:jc w:val="center"/>
              <w:spacing w:after="0" w:line="192"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460" w:type="dxa"/>
            <w:vAlign w:val="bottom"/>
          </w:tcPr>
          <w:p>
            <w:pPr>
              <w:spacing w:after="0"/>
              <w:rPr>
                <w:sz w:val="16"/>
                <w:szCs w:val="16"/>
                <w:color w:val="auto"/>
              </w:rPr>
            </w:pPr>
          </w:p>
        </w:tc>
        <w:tc>
          <w:tcPr>
            <w:tcW w:w="10020" w:type="dxa"/>
            <w:vAlign w:val="bottom"/>
            <w:gridSpan w:val="16"/>
          </w:tcPr>
          <w:p>
            <w:pPr>
              <w:spacing w:after="0" w:line="19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color w:val="0000EE"/>
                </w:rPr>
                <w:t>First Amendment to the Upbound Group, Inc. 2026 Long-Term Incentive Plan (incorporated herein by reference to Exhibit 10.2 of the</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Registrant’s Current Report on Form 8-K, filed June 3, 2026).</w:t>
              </w:r>
            </w:hyperlink>
          </w:p>
        </w:tc>
        <w:tc>
          <w:tcPr>
            <w:tcW w:w="5160" w:type="dxa"/>
            <w:vAlign w:val="bottom"/>
            <w:tcBorders>
              <w:top w:val="single" w:sz="8" w:color="0000EE"/>
            </w:tcBorders>
            <w:gridSpan w:val="4"/>
          </w:tcPr>
          <w:p>
            <w:pPr>
              <w:spacing w:after="0"/>
              <w:rPr>
                <w:sz w:val="16"/>
                <w:szCs w:val="16"/>
                <w:color w:val="auto"/>
              </w:rPr>
            </w:pPr>
          </w:p>
        </w:tc>
        <w:tc>
          <w:tcPr>
            <w:tcW w:w="3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460" w:type="dxa"/>
            <w:vAlign w:val="bottom"/>
            <w:gridSpan w:val="2"/>
          </w:tcPr>
          <w:p>
            <w:pPr>
              <w:spacing w:after="0"/>
              <w:rPr>
                <w:sz w:val="16"/>
                <w:szCs w:val="16"/>
                <w:color w:val="auto"/>
              </w:rPr>
            </w:pPr>
          </w:p>
        </w:tc>
        <w:tc>
          <w:tcPr>
            <w:tcW w:w="2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60" w:type="dxa"/>
            <w:vAlign w:val="bottom"/>
          </w:tcPr>
          <w:p>
            <w:pPr>
              <w:spacing w:after="0"/>
              <w:rPr>
                <w:sz w:val="16"/>
                <w:szCs w:val="16"/>
                <w:color w:val="auto"/>
              </w:rPr>
            </w:pP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Sullivan &amp; Cromwell LLP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114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Sullivan &amp; Cromwell LLP (contained in Exhibit 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114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Deloitte &amp; Touche LLP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114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Ernst &amp; Young LLP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1140" w:type="dxa"/>
            <w:vAlign w:val="bottom"/>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Power of Attorney (set forth on the signature page to this Registration Statement).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40" w:type="dxa"/>
            <w:vAlign w:val="bottom"/>
            <w:gridSpan w:val="10"/>
            <w:shd w:val="clear" w:color="auto" w:fill="0000EE"/>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460" w:type="dxa"/>
            <w:vAlign w:val="bottom"/>
            <w:gridSpan w:val="2"/>
          </w:tcPr>
          <w:p>
            <w:pPr>
              <w:spacing w:after="0"/>
              <w:rPr>
                <w:sz w:val="16"/>
                <w:szCs w:val="16"/>
                <w:color w:val="auto"/>
              </w:rPr>
            </w:pPr>
          </w:p>
        </w:tc>
        <w:tc>
          <w:tcPr>
            <w:tcW w:w="2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0000EE"/>
                <w:w w:val="88"/>
              </w:rPr>
              <w:t>107</w:t>
            </w:r>
          </w:p>
        </w:tc>
        <w:tc>
          <w:tcPr>
            <w:tcW w:w="460" w:type="dxa"/>
            <w:vAlign w:val="bottom"/>
          </w:tcPr>
          <w:p>
            <w:pPr>
              <w:spacing w:after="0"/>
              <w:rPr>
                <w:sz w:val="16"/>
                <w:szCs w:val="16"/>
                <w:color w:val="auto"/>
              </w:rPr>
            </w:pPr>
          </w:p>
        </w:tc>
        <w:tc>
          <w:tcPr>
            <w:tcW w:w="1002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Filing Fee Table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(ii)            To reflect in the prospectus any facts or events arising after the effective date of this Registration Statement (or the most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post-effective amendment thereof) which, individually or in the aggregate, represent a fundamental change in the information set forth in this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Notwithstanding the foregoing, any increase or decrease in volume of securities offered (if the total dollar value of securities offered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exceed that which was registered) and any deviation from the low or high end of the estimated maximum offering range may be reflected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prospectus filed with the Commission pursuant to Rule 424(b) (17 C.F.R. § 230.424(b)) if, in the aggregate, the changes in volume and price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 no more than a 20% change in the maximum aggregate offering price set forth in the “Calculation of Registration Fee” table in the effective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firstLine="1924"/>
        <w:spacing w:after="0" w:line="247" w:lineRule="auto"/>
        <w:rPr>
          <w:sz w:val="20"/>
          <w:szCs w:val="20"/>
          <w:color w:val="auto"/>
        </w:rPr>
      </w:pPr>
      <w:r>
        <w:rPr>
          <w:rFonts w:ascii="Times New Roman" w:cs="Times New Roman" w:eastAsia="Times New Roman" w:hAnsi="Times New Roman"/>
          <w:sz w:val="18"/>
          <w:szCs w:val="18"/>
          <w:color w:val="auto"/>
        </w:rPr>
        <w:t xml:space="preserve">(iii)            To include any material information with respect to the plan of distribution not previously disclosed in this Registration Statement or any material change to such information in this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  </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(2)            That, for the purpose of determining any liability under the Securities Act, each such post-effective amendment shall be deemed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(3)            To remove from registration by means of a post-effective amendment any of the securities being registered which remain unsold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of the offering.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00"/>
          </w:cols>
          <w:pgMar w:left="320" w:top="219" w:right="37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219"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Registrant’s annual report pursuant to Section 13(a) or Section 15(d) of the Exchange Act (and, where applicable, each filing of an employee benefit plan’s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pursuant to Section 15(d) of the Exchange Act) that is incorporated by reference in the registration statement shall be deemed to be a new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            Insofar as indemnification for liabilities arising under the Securities Act may be permitted to directors, officers and controlling persons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pursuant to the provisions referenced in Item 6 of this Registration Statement, or otherwise, the Registrant has been advised that in the opinion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Commission such indemnification is against public policy as expressed in the Securities Act and is, therefore, unenforceable. In the event that a claim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indemnification against such liabilities (other than the payment by the Registrant of expenses incurred or paid by a director, officer, or controlling person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in the successful defense of any action, suit or proceeding) is asserted by such director, officer or controlling person in connection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being registered hereunder, the Registrant will, unless in the opinion of its counsel the matter has been settled by controlling precedent, submit to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appropriate jurisdiction the question of whether such indemnification by it is against public policy as expressed in the Securities Act and will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governed by the final adjudication of such issue.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21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right="60" w:firstLine="641"/>
        <w:spacing w:after="0" w:line="247"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Plano, State of Texas, on the 3rd day of June, 2026.</w:t>
      </w:r>
    </w:p>
    <w:tbl>
      <w:tblPr>
        <w:tblLayout w:type="fixed"/>
        <w:tblInd w:w="0" w:type="dxa"/>
        <w:tblCellMar>
          <w:top w:w="0" w:type="dxa"/>
          <w:left w:w="0" w:type="dxa"/>
          <w:bottom w:w="0" w:type="dxa"/>
          <w:right w:w="0" w:type="dxa"/>
        </w:tblCellMar>
      </w:tblPr>
      <w:tr>
        <w:trPr>
          <w:trHeight w:val="197"/>
        </w:trPr>
        <w:tc>
          <w:tcPr>
            <w:tcW w:w="28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UPBOUND GROUP, INC.</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2840" w:type="dxa"/>
            <w:vAlign w:val="bottom"/>
          </w:tcPr>
          <w:p>
            <w:pPr>
              <w:spacing w:after="0"/>
              <w:rPr>
                <w:sz w:val="20"/>
                <w:szCs w:val="20"/>
                <w:color w:val="auto"/>
              </w:rPr>
            </w:pP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Pechersky</w:t>
            </w:r>
          </w:p>
        </w:tc>
        <w:tc>
          <w:tcPr>
            <w:tcW w:w="0" w:type="dxa"/>
            <w:vAlign w:val="bottom"/>
          </w:tcPr>
          <w:p>
            <w:pPr>
              <w:spacing w:after="0"/>
              <w:rPr>
                <w:sz w:val="1"/>
                <w:szCs w:val="1"/>
                <w:color w:val="auto"/>
              </w:rPr>
            </w:pPr>
          </w:p>
        </w:tc>
      </w:tr>
      <w:tr>
        <w:trPr>
          <w:trHeight w:val="189"/>
        </w:trPr>
        <w:tc>
          <w:tcPr>
            <w:tcW w:w="2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Bryan Pechersky</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 General Counsel and Corporate</w:t>
            </w:r>
          </w:p>
        </w:tc>
        <w:tc>
          <w:tcPr>
            <w:tcW w:w="0" w:type="dxa"/>
            <w:vAlign w:val="bottom"/>
          </w:tcPr>
          <w:p>
            <w:pPr>
              <w:spacing w:after="0"/>
              <w:rPr>
                <w:sz w:val="1"/>
                <w:szCs w:val="1"/>
                <w:color w:val="auto"/>
              </w:rPr>
            </w:pPr>
          </w:p>
        </w:tc>
      </w:tr>
      <w:tr>
        <w:trPr>
          <w:trHeight w:val="233"/>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0" w:type="dxa"/>
            <w:vAlign w:val="bottom"/>
          </w:tcPr>
          <w:p>
            <w:pPr>
              <w:spacing w:after="0"/>
              <w:rPr>
                <w:sz w:val="1"/>
                <w:szCs w:val="1"/>
                <w:color w:val="auto"/>
              </w:rPr>
            </w:pPr>
          </w:p>
        </w:tc>
      </w:tr>
      <w:tr>
        <w:trPr>
          <w:trHeight w:val="214"/>
        </w:trPr>
        <w:tc>
          <w:tcPr>
            <w:tcW w:w="284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individual whose signature appears below constitutes and appoints Bryan Pechersky,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 General Counsel and Corporate Secretary, and Hal Khouri, Executive Vice President – Chief Financial Officer, and each of them, any of whom may act without the joinder of the other, as their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  </w:t>
      </w:r>
    </w:p>
    <w:p>
      <w:pPr>
        <w:spacing w:after="0" w:line="21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indicated capacities on June 3, 2026.</w:t>
      </w: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Fahmi Karam</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Fahmi Karam</w:t>
            </w: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line="189" w:lineRule="exact"/>
              <w:rPr>
                <w:sz w:val="20"/>
                <w:szCs w:val="20"/>
                <w:color w:val="auto"/>
              </w:rPr>
            </w:pPr>
            <w:r>
              <w:rPr>
                <w:rFonts w:ascii="Times New Roman" w:cs="Times New Roman" w:eastAsia="Times New Roman" w:hAnsi="Times New Roman"/>
                <w:sz w:val="18"/>
                <w:szCs w:val="18"/>
                <w:color w:val="auto"/>
                <w:w w:val="99"/>
              </w:rPr>
              <w:t>(Principal Executive Officer and Director)</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2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Hal Khouri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7"/>
              </w:rPr>
              <w:t>EVP, Chief Financial Officer</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Hal Khouri</w:t>
            </w: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line="189" w:lineRule="exact"/>
              <w:rPr>
                <w:sz w:val="20"/>
                <w:szCs w:val="20"/>
                <w:color w:val="auto"/>
              </w:rPr>
            </w:pPr>
            <w:r>
              <w:rPr>
                <w:rFonts w:ascii="Times New Roman" w:cs="Times New Roman" w:eastAsia="Times New Roman" w:hAnsi="Times New Roman"/>
                <w:sz w:val="18"/>
                <w:szCs w:val="18"/>
                <w:color w:val="auto"/>
                <w:w w:val="98"/>
              </w:rPr>
              <w:t>(Principal Financial and Principal Accounting Officer)</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2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Brown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Brown</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40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Charu Jain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Charu Jain</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40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Molly Langenstein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Molly Langenstein</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40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Lewis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Harold Lewis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40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Glenn Marino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Glenn Marino</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rPr>
              <w:t> </w:t>
            </w:r>
          </w:p>
        </w:tc>
      </w:tr>
      <w:tr>
        <w:trPr>
          <w:trHeight w:val="40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 McFate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 McFate</w:t>
            </w: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360" w:type="dxa"/>
            <w:vAlign w:val="bottom"/>
          </w:tcPr>
          <w:p>
            <w:pPr>
              <w:jc w:val="center"/>
              <w:ind w:left="431"/>
              <w:spacing w:after="0" w:line="189" w:lineRule="exact"/>
              <w:rPr>
                <w:sz w:val="20"/>
                <w:szCs w:val="20"/>
                <w:color w:val="auto"/>
              </w:rPr>
            </w:pPr>
            <w:r>
              <w:rPr>
                <w:rFonts w:ascii="Times New Roman" w:cs="Times New Roman" w:eastAsia="Times New Roman" w:hAnsi="Times New Roman"/>
                <w:sz w:val="18"/>
                <w:szCs w:val="18"/>
                <w:color w:val="auto"/>
              </w:rPr>
              <w:t> </w:t>
            </w: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ectPr>
          <w:pgSz w:w="11900" w:h="16838" w:orient="portrait"/>
          <w:cols w:equalWidth="0" w:num="1">
            <w:col w:w="11240"/>
          </w:cols>
          <w:pgMar w:left="320" w:top="219" w:right="339" w:bottom="1440" w:gutter="0" w:footer="0" w:header="0"/>
        </w:sectPr>
      </w:pPr>
    </w:p>
    <w:bookmarkStart w:id="8" w:name="page9"/>
    <w:bookmarkEnd w:id="8"/>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Sullivan &amp; Cromwell LLP</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3,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5501 Headquarters Drive,</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Plano, Texas 75024.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60" w:firstLine="1282"/>
        <w:spacing w:after="0" w:line="257"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4,590,636 shares of common stock, par value $0.01 per share (the “Securities”), of Upbound Group, Inc., a Delaware corporation (the “Company”), issuable under the Company’s 2026 Long-Term Incentive Plan (the “Plan”), we, as your counsel, have examined such corporate records, certificates and other documents, and such questions of law, as we have considered necessary or appropriate for the purposes of this opinion.</w:t>
      </w:r>
    </w:p>
    <w:p>
      <w:pPr>
        <w:spacing w:after="0" w:line="182" w:lineRule="exact"/>
        <w:rPr>
          <w:sz w:val="20"/>
          <w:szCs w:val="20"/>
          <w:color w:val="auto"/>
        </w:rPr>
      </w:pPr>
    </w:p>
    <w:p>
      <w:pPr>
        <w:ind w:right="100" w:firstLine="1282"/>
        <w:spacing w:after="0" w:line="253"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the terms of the issuance of the Securities have been duly established in conformity with the Company’s certificate of incorporation, as amended, and the Plan so as not to violate any applicable law or result in a default under or breach of any agreement or instrument binding on the Company and so as to comply with any requirement or restriction imposed by any court or governmental body having jurisdiction over the Company, and the Securities have been duly issued and sold as contemplated by the Registration Statement and the Plan, the Securities will be validly issued, fully paid and nonassessable.</w:t>
      </w:r>
    </w:p>
    <w:p>
      <w:pPr>
        <w:spacing w:after="0" w:line="187" w:lineRule="exact"/>
        <w:rPr>
          <w:sz w:val="20"/>
          <w:szCs w:val="20"/>
          <w:color w:val="auto"/>
        </w:rPr>
      </w:pPr>
    </w:p>
    <w:p>
      <w:pPr>
        <w:ind w:right="100" w:firstLine="1282"/>
        <w:spacing w:after="0" w:line="277"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3" w:lineRule="exact"/>
        <w:rPr>
          <w:sz w:val="20"/>
          <w:szCs w:val="20"/>
          <w:color w:val="auto"/>
        </w:rPr>
      </w:pPr>
    </w:p>
    <w:p>
      <w:pPr>
        <w:ind w:right="240" w:firstLine="1282"/>
        <w:spacing w:after="0" w:line="277"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Upbound Group, Inc.</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500" w:firstLine="1282"/>
        <w:spacing w:after="0" w:line="277"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3" w:lineRule="exact"/>
        <w:rPr>
          <w:sz w:val="20"/>
          <w:szCs w:val="20"/>
          <w:color w:val="auto"/>
        </w:rPr>
      </w:pPr>
    </w:p>
    <w:p>
      <w:pPr>
        <w:ind w:right="60" w:firstLine="1282"/>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Sullivan &amp;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23, 2026 relating to the financial statements of Upbound Group, Inc. and the effectiveness of Upbound Group Inc.’s internal control over financial reporting, appearing in the Annual Report on Form 10-K of Upbound Group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registration of the additional shares of Upbound Group Inc.’s common stock under the Upbound Group, Inc. 2026 Long-Term Incentive Plan as set forth in the Registration Statement on Form S-8, of our report dated February 25, 2025, with respect to the consolidated financial statements of Upbound Group Inc. included in its Annual Report (Form 10-K) for the year ended December 31, 2025,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Ernst &amp; Young,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480"/>
        <w:spacing w:after="0"/>
        <w:rPr>
          <w:sz w:val="20"/>
          <w:szCs w:val="20"/>
          <w:color w:val="auto"/>
        </w:rPr>
      </w:pPr>
      <w:r>
        <w:rPr>
          <w:rFonts w:ascii="Arial" w:cs="Arial" w:eastAsia="Arial" w:hAnsi="Arial"/>
          <w:sz w:val="36"/>
          <w:szCs w:val="36"/>
          <w:b w:val="1"/>
          <w:bCs w:val="1"/>
          <w:color w:val="auto"/>
        </w:rPr>
        <w:t>UPBOUND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4,590,636</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$ 18.75</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$ 11,886.88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$.01 par</w:t>
            </w:r>
          </w:p>
        </w:tc>
        <w:tc>
          <w:tcPr>
            <w:tcW w:w="4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86,074,425.00</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$ 11,886.88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86,074,425.00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$ 11,886.88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1000"/>
        <w:spacing w:after="0" w:line="246" w:lineRule="auto"/>
        <w:rPr>
          <w:sz w:val="20"/>
          <w:szCs w:val="20"/>
          <w:color w:val="auto"/>
        </w:rPr>
      </w:pPr>
      <w:r>
        <w:rPr>
          <w:rFonts w:ascii="Arial" w:cs="Arial" w:eastAsia="Arial" w:hAnsi="Arial"/>
          <w:sz w:val="21"/>
          <w:szCs w:val="21"/>
          <w:color w:val="auto"/>
        </w:rPr>
        <w:t>Pursuant to Rule 416 under the Securities Act of 1933, as amended (the "Securities Act"), this Registration Statement shall also cover any additional shares of common stock, no par value (the "Common Stock") of Upbound Group, Inc. which may become issuable under the plans listed in footnote 2 below by reason of any stock split, stock dividend, recapitalization, or other similar transaction effected without consideration which results in the increase in the number of outstanding shares of Common Stock.</w:t>
      </w:r>
    </w:p>
    <w:p>
      <w:pPr>
        <w:spacing w:after="0" w:line="198" w:lineRule="exact"/>
        <w:rPr>
          <w:sz w:val="20"/>
          <w:szCs w:val="20"/>
          <w:color w:val="auto"/>
        </w:rPr>
      </w:pPr>
    </w:p>
    <w:p>
      <w:pPr>
        <w:ind w:left="800" w:right="1420"/>
        <w:spacing w:after="0" w:line="278" w:lineRule="auto"/>
        <w:rPr>
          <w:sz w:val="20"/>
          <w:szCs w:val="20"/>
          <w:color w:val="auto"/>
        </w:rPr>
      </w:pPr>
      <w:r>
        <w:rPr>
          <w:rFonts w:ascii="Arial" w:cs="Arial" w:eastAsia="Arial" w:hAnsi="Arial"/>
          <w:sz w:val="21"/>
          <w:szCs w:val="21"/>
          <w:color w:val="auto"/>
        </w:rPr>
        <w:t>Represents shares of Common Stock issuable under the Upbound Group, Inc. 2026 Long-Term Incentive Plan.</w:t>
      </w:r>
    </w:p>
    <w:p>
      <w:pPr>
        <w:spacing w:after="0" w:line="162" w:lineRule="exact"/>
        <w:rPr>
          <w:sz w:val="20"/>
          <w:szCs w:val="20"/>
          <w:color w:val="auto"/>
        </w:rPr>
      </w:pPr>
    </w:p>
    <w:p>
      <w:pPr>
        <w:ind w:left="800" w:right="1120"/>
        <w:spacing w:after="0" w:line="252" w:lineRule="auto"/>
        <w:rPr>
          <w:sz w:val="20"/>
          <w:szCs w:val="20"/>
          <w:color w:val="auto"/>
        </w:rPr>
      </w:pPr>
      <w:r>
        <w:rPr>
          <w:rFonts w:ascii="Arial" w:cs="Arial" w:eastAsia="Arial" w:hAnsi="Arial"/>
          <w:sz w:val="21"/>
          <w:szCs w:val="21"/>
          <w:color w:val="auto"/>
        </w:rPr>
        <w:t>Estimated solely for purpose of calculating the registration fee. Pursuant to Rule 457(c) and Rule 457(h) under the Securities Act, the proposed maximum offering price per share and proposed maximum aggregate offering price are based on the reported average of the high and low prices of Common Stock as reported on Nasdaq Global Select Market on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19" Type="http://schemas.openxmlformats.org/officeDocument/2006/relationships/hyperlink" Target="https://www.sec.gov/ix?doc=/Archives/edgar/data/933036/000093303626000008/upbd-20251231.htm" TargetMode="External"/><Relationship Id="rId20" Type="http://schemas.openxmlformats.org/officeDocument/2006/relationships/hyperlink" Target="https://www.sec.gov/ix?doc=/Archives/edgar/data/933036/000110465926045736/tm261520-1_def14a.htm" TargetMode="External"/><Relationship Id="rId21" Type="http://schemas.openxmlformats.org/officeDocument/2006/relationships/hyperlink" Target="https://www.sec.gov/ix?doc=/Archives/edgar/data/933036/000162828026029049/upbd-20260331.htm" TargetMode="External"/><Relationship Id="rId22" Type="http://schemas.openxmlformats.org/officeDocument/2006/relationships/hyperlink" Target="https://www.sec.gov/ix?doc=/Archives/edgar/data/933036/000110465926063514/tm2614908d1_8k.htm" TargetMode="External"/><Relationship Id="rId23" Type="http://schemas.openxmlformats.org/officeDocument/2006/relationships/hyperlink" Target="https://www.sec.gov/ix?doc=/Archives/edgar/data/933036/000110465926069652/tm2616108d1_8k.htm" TargetMode="External"/><Relationship Id="rId24" Type="http://schemas.openxmlformats.org/officeDocument/2006/relationships/hyperlink" Target="https://www.sec.gov/Archives/edgar/data/933036/000110465925015482/tm256884d2_ex4-1.htm" TargetMode="External"/><Relationship Id="rId27" Type="http://schemas.openxmlformats.org/officeDocument/2006/relationships/hyperlink" Target="https://www.sec.gov/Archives/edgar/data/933036/000110465925015482/tm256884d2_ex3-1.htm" TargetMode="External"/><Relationship Id="rId28" Type="http://schemas.openxmlformats.org/officeDocument/2006/relationships/hyperlink" Target="https://www.sec.gov/Archives/edgar/data/933036/000110465924068516/tm2415591d1_10-3.htm" TargetMode="External"/><Relationship Id="rId29" Type="http://schemas.openxmlformats.org/officeDocument/2006/relationships/hyperlink" Target="https://www.sec.gov/Archives/edgar/data/933036/000110465926045736/tm261520-1_def14a.htm#ABUG" TargetMode="External"/><Relationship Id="rId30" Type="http://schemas.openxmlformats.org/officeDocument/2006/relationships/hyperlink" Target="https://www.sec.gov/Archives/edgar/data/933036/000110465926069652/tm261610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2026-06-03T12:38:31Z</dcterms:created>
  <dcterms:modified xsi:type="dcterms:W3CDTF">2026-06-03T12:38:31Z</dcterms:modified>
</cp:coreProperties>
</file>