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UPBOUND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Allred Aaron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524,750.00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1,296,892.00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524,750.00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1,296,892.00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1,821,642.00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2"/>
        <w:gridCol w:w="8918"/>
        <w:gridCol w:w="155"/>
      </w:tblGrid>
      <w:tr>
        <w:trPr/>
        <w:tc>
          <w:tcPr>
            <w:tcW w:w="1132" w:type="dxa"/>
            <w:tcBorders/>
            <w:vAlign w:val="center"/>
          </w:tcPr>
          <w:p>
            <w:pPr>
              <w:pStyle w:val="TableContents"/>
              <w:bidi w:val="0"/>
              <w:spacing w:before="0" w:after="283"/>
              <w:jc w:val="left"/>
              <w:rPr/>
            </w:pPr>
            <w:r>
              <w:rPr/>
              <w:t>Item 1.</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issuer: </w:t>
            </w:r>
          </w:p>
          <w:p>
            <w:pPr>
              <w:pStyle w:val="TableContents"/>
              <w:bidi w:val="0"/>
              <w:spacing w:before="0" w:after="0"/>
              <w:jc w:val="left"/>
              <w:rPr/>
            </w:pPr>
            <w:r>
              <w:rPr/>
              <w:t>UPBOUND GROUP, INC.</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5501 Headquarters Drive, Plano, Texas, 75024</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2.</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Aaron Allred</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6112 S Old Orchard Lane, Holladay, UT 84121</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3.</w:t>
            </w:r>
          </w:p>
        </w:tc>
        <w:tc>
          <w:tcPr>
            <w:tcW w:w="891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(f)</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(g)</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(h)</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(j)</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(k)</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9073"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4.</w:t>
            </w:r>
          </w:p>
        </w:tc>
        <w:tc>
          <w:tcPr>
            <w:tcW w:w="891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Information in Row 9 of the cover page hereto is incorporated into this Item 4(a) by reference. Alterra Holdings, LLC ("Alterra"), a Utah limited liability company, is the record owner of 524,750 shares of common stock, par value $0.01, of Upbound Group, Inc. ("Common Stock"). The Reporting Person is the sole manager of Alterra and therefore has sole voting and dispositive power over such shares. Arklow Holdings, LLC ("Arklow"), a Utah limited liability company, is the record owner of 1,296,892 shares of Common Stock. As a general member and manager of Arklow, the Reporting Person shares voting and dispositive power over such shares.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Information in Row 11 of the cover page hereto is incorporated into this Item 4(b) by reference. The Reporting Person's aggregate percentage of beneficial ownership of the total amount of Common Stock outstanding is based on 58,293,726 shares of Common Stock outstanding as of April 23, 2026, as reported in the Issuer's Form 10-Q filed on May 1, 2026.  %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524,750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1,296,892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524,750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1,296,892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5.</w:t>
            </w:r>
          </w:p>
        </w:tc>
        <w:tc>
          <w:tcPr>
            <w:tcW w:w="891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891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Reporting Person's spouse and children may have the right to receive or the power to direct the receipt of the dividends from, and any proceeds from the sale of, the shares. No such individual interest relates to more than 5% of the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7.</w:t>
            </w:r>
          </w:p>
        </w:tc>
        <w:tc>
          <w:tcPr>
            <w:tcW w:w="89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8.</w:t>
            </w:r>
          </w:p>
        </w:tc>
        <w:tc>
          <w:tcPr>
            <w:tcW w:w="891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9.</w:t>
            </w:r>
          </w:p>
        </w:tc>
        <w:tc>
          <w:tcPr>
            <w:tcW w:w="891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Allred Aaron R</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Aaron Allred</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Allred Aaron R</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5150</Characters>
  <CharactersWithSpaces>6157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