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185420</wp:posOffset>
            </wp:positionH>
            <wp:positionV relativeFrom="page">
              <wp:posOffset>134620</wp:posOffset>
            </wp:positionV>
            <wp:extent cx="7178040" cy="114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157480</wp:posOffset>
            </wp:positionV>
            <wp:extent cx="7178040"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5715"/>
                    </a:xfrm>
                    <a:prstGeom prst="rect">
                      <a:avLst/>
                    </a:prstGeom>
                    <a:noFill/>
                  </pic:spPr>
                </pic:pic>
              </a:graphicData>
            </a:graphic>
          </wp:anchor>
        </w:drawing>
        <w:t>UNITED STATES</w:t>
      </w:r>
    </w:p>
    <w:p>
      <w:pPr>
        <w:spacing w:after="0" w:line="19"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color w:val="auto"/>
        </w:rPr>
        <w:t>SECURITIES AND EXCHANGE COMMISSION</w:t>
      </w:r>
    </w:p>
    <w:p>
      <w:pPr>
        <w:spacing w:after="0" w:line="4"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94615</wp:posOffset>
            </wp:positionV>
            <wp:extent cx="179451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104775</wp:posOffset>
            </wp:positionV>
            <wp:extent cx="179451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30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CURRENT REPORT</w:t>
      </w:r>
    </w:p>
    <w:p>
      <w:pPr>
        <w:spacing w:after="0" w:line="150"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PURSUANT TO SECTION 13 OR 15(d) OF THE</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135"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Report:</w:t>
      </w:r>
    </w:p>
    <w:p>
      <w:pPr>
        <w:spacing w:after="0" w:line="21"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(Date of earliest event reported)</w:t>
      </w:r>
    </w:p>
    <w:p>
      <w:pPr>
        <w:spacing w:after="0" w:line="6"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February 18,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95250</wp:posOffset>
            </wp:positionV>
            <wp:extent cx="179451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73"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7"/>
          <w:szCs w:val="17"/>
          <w:b w:val="1"/>
          <w:bCs w:val="1"/>
          <w:color w:val="auto"/>
        </w:rPr>
        <w:t>UPBOUND GROUP, INC.</w:t>
      </w:r>
    </w:p>
    <w:p>
      <w:pPr>
        <w:spacing w:after="0" w:line="22" w:lineRule="exact"/>
        <w:rPr>
          <w:sz w:val="24"/>
          <w:szCs w:val="24"/>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2691765</wp:posOffset>
            </wp:positionH>
            <wp:positionV relativeFrom="paragraph">
              <wp:posOffset>26035</wp:posOffset>
            </wp:positionV>
            <wp:extent cx="1794510"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204" w:lineRule="exact"/>
        <w:rPr>
          <w:sz w:val="24"/>
          <w:szCs w:val="24"/>
          <w:color w:val="auto"/>
        </w:rPr>
      </w:pPr>
    </w:p>
    <w:tbl>
      <w:tblPr>
        <w:tblLayout w:type="fixed"/>
        <w:tblInd w:w="1148" w:type="dxa"/>
        <w:tblCellMar>
          <w:top w:w="0" w:type="dxa"/>
          <w:left w:w="0" w:type="dxa"/>
          <w:bottom w:w="0" w:type="dxa"/>
          <w:right w:w="0" w:type="dxa"/>
        </w:tblCellMar>
      </w:tblPr>
      <w:tr>
        <w:trPr>
          <w:trHeight w:val="144"/>
        </w:trPr>
        <w:tc>
          <w:tcPr>
            <w:tcW w:w="2240" w:type="dxa"/>
            <w:vAlign w:val="bottom"/>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8"/>
              </w:rPr>
              <w:t>Delaware</w:t>
            </w:r>
          </w:p>
        </w:tc>
        <w:tc>
          <w:tcPr>
            <w:tcW w:w="46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001-38047</w:t>
            </w:r>
          </w:p>
        </w:tc>
        <w:tc>
          <w:tcPr>
            <w:tcW w:w="1780" w:type="dxa"/>
            <w:vAlign w:val="bottom"/>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45-0491516</w:t>
            </w:r>
          </w:p>
        </w:tc>
      </w:tr>
      <w:tr>
        <w:trPr>
          <w:trHeight w:val="144"/>
        </w:trPr>
        <w:tc>
          <w:tcPr>
            <w:tcW w:w="2240" w:type="dxa"/>
            <w:vAlign w:val="bottom"/>
          </w:tcPr>
          <w:p>
            <w:pPr>
              <w:jc w:val="center"/>
              <w:ind w:right="640"/>
              <w:spacing w:after="0"/>
              <w:rPr>
                <w:sz w:val="20"/>
                <w:szCs w:val="20"/>
                <w:color w:val="auto"/>
              </w:rPr>
            </w:pPr>
            <w:r>
              <w:rPr>
                <w:rFonts w:ascii="Times New Roman" w:cs="Times New Roman" w:eastAsia="Times New Roman" w:hAnsi="Times New Roman"/>
                <w:sz w:val="12"/>
                <w:szCs w:val="12"/>
                <w:b w:val="1"/>
                <w:bCs w:val="1"/>
                <w:color w:val="auto"/>
                <w:w w:val="99"/>
              </w:rPr>
              <w:t>(State or other jurisdiction of</w:t>
            </w: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7"/>
              </w:rPr>
              <w:t>(Commission</w:t>
            </w:r>
          </w:p>
        </w:tc>
        <w:tc>
          <w:tcPr>
            <w:tcW w:w="1780" w:type="dxa"/>
            <w:vAlign w:val="bottom"/>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59"/>
        </w:trPr>
        <w:tc>
          <w:tcPr>
            <w:tcW w:w="2240" w:type="dxa"/>
            <w:vAlign w:val="bottom"/>
          </w:tcPr>
          <w:p>
            <w:pPr>
              <w:jc w:val="center"/>
              <w:ind w:right="620"/>
              <w:spacing w:after="0"/>
              <w:rPr>
                <w:sz w:val="20"/>
                <w:szCs w:val="20"/>
                <w:color w:val="auto"/>
              </w:rPr>
            </w:pPr>
            <w:r>
              <w:rPr>
                <w:rFonts w:ascii="Times New Roman" w:cs="Times New Roman" w:eastAsia="Times New Roman" w:hAnsi="Times New Roman"/>
                <w:sz w:val="12"/>
                <w:szCs w:val="12"/>
                <w:b w:val="1"/>
                <w:bCs w:val="1"/>
                <w:color w:val="auto"/>
                <w:w w:val="99"/>
              </w:rPr>
              <w:t>incorporation or organization)</w:t>
            </w: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File Number)</w:t>
            </w:r>
          </w:p>
        </w:tc>
        <w:tc>
          <w:tcPr>
            <w:tcW w:w="1780" w:type="dxa"/>
            <w:vAlign w:val="bottom"/>
          </w:tcPr>
          <w:p>
            <w:pPr>
              <w:jc w:val="center"/>
              <w:ind w:left="780"/>
              <w:spacing w:after="0"/>
              <w:rPr>
                <w:sz w:val="20"/>
                <w:szCs w:val="20"/>
                <w:color w:val="auto"/>
              </w:rPr>
            </w:pPr>
            <w:r>
              <w:rPr>
                <w:rFonts w:ascii="Times New Roman" w:cs="Times New Roman" w:eastAsia="Times New Roman" w:hAnsi="Times New Roman"/>
                <w:sz w:val="12"/>
                <w:szCs w:val="12"/>
                <w:b w:val="1"/>
                <w:bCs w:val="1"/>
                <w:color w:val="auto"/>
                <w:w w:val="99"/>
              </w:rPr>
              <w:t>Identification No.)</w:t>
            </w:r>
          </w:p>
        </w:tc>
      </w:tr>
      <w:tr>
        <w:trPr>
          <w:trHeight w:val="273"/>
        </w:trPr>
        <w:tc>
          <w:tcPr>
            <w:tcW w:w="2240" w:type="dxa"/>
            <w:vAlign w:val="bottom"/>
          </w:tcPr>
          <w:p>
            <w:pPr>
              <w:spacing w:after="0"/>
              <w:rPr>
                <w:sz w:val="23"/>
                <w:szCs w:val="23"/>
                <w:color w:val="auto"/>
              </w:rPr>
            </w:pP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5501 Headquarters Drive</w:t>
            </w:r>
          </w:p>
        </w:tc>
        <w:tc>
          <w:tcPr>
            <w:tcW w:w="1780" w:type="dxa"/>
            <w:vAlign w:val="bottom"/>
          </w:tcPr>
          <w:p>
            <w:pPr>
              <w:spacing w:after="0"/>
              <w:rPr>
                <w:sz w:val="23"/>
                <w:szCs w:val="23"/>
                <w:color w:val="auto"/>
              </w:rPr>
            </w:pPr>
          </w:p>
        </w:tc>
      </w:tr>
      <w:tr>
        <w:trPr>
          <w:trHeight w:val="144"/>
        </w:trPr>
        <w:tc>
          <w:tcPr>
            <w:tcW w:w="2240" w:type="dxa"/>
            <w:vAlign w:val="bottom"/>
          </w:tcPr>
          <w:p>
            <w:pPr>
              <w:spacing w:after="0"/>
              <w:rPr>
                <w:sz w:val="12"/>
                <w:szCs w:val="12"/>
                <w:color w:val="auto"/>
              </w:rPr>
            </w:pP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Plano, Texas 75024</w:t>
            </w:r>
          </w:p>
        </w:tc>
        <w:tc>
          <w:tcPr>
            <w:tcW w:w="1780" w:type="dxa"/>
            <w:vAlign w:val="bottom"/>
          </w:tcPr>
          <w:p>
            <w:pPr>
              <w:spacing w:after="0"/>
              <w:rPr>
                <w:sz w:val="12"/>
                <w:szCs w:val="12"/>
                <w:color w:val="auto"/>
              </w:rPr>
            </w:pPr>
          </w:p>
        </w:tc>
      </w:tr>
      <w:tr>
        <w:trPr>
          <w:trHeight w:val="159"/>
        </w:trPr>
        <w:tc>
          <w:tcPr>
            <w:tcW w:w="2240" w:type="dxa"/>
            <w:vAlign w:val="bottom"/>
          </w:tcPr>
          <w:p>
            <w:pPr>
              <w:spacing w:after="0"/>
              <w:rPr>
                <w:sz w:val="13"/>
                <w:szCs w:val="13"/>
                <w:color w:val="auto"/>
              </w:rPr>
            </w:pP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and zip code)</w:t>
            </w:r>
          </w:p>
        </w:tc>
        <w:tc>
          <w:tcPr>
            <w:tcW w:w="1780" w:type="dxa"/>
            <w:vAlign w:val="bottom"/>
          </w:tcPr>
          <w:p>
            <w:pPr>
              <w:spacing w:after="0"/>
              <w:rPr>
                <w:sz w:val="13"/>
                <w:szCs w:val="13"/>
                <w:color w:val="auto"/>
              </w:rPr>
            </w:pPr>
          </w:p>
        </w:tc>
      </w:tr>
      <w:tr>
        <w:trPr>
          <w:trHeight w:val="273"/>
        </w:trPr>
        <w:tc>
          <w:tcPr>
            <w:tcW w:w="2240" w:type="dxa"/>
            <w:vAlign w:val="bottom"/>
          </w:tcPr>
          <w:p>
            <w:pPr>
              <w:spacing w:after="0"/>
              <w:rPr>
                <w:sz w:val="23"/>
                <w:szCs w:val="23"/>
                <w:color w:val="auto"/>
              </w:rPr>
            </w:pP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8"/>
              </w:rPr>
              <w:t>(972) 801-1100</w:t>
            </w:r>
          </w:p>
        </w:tc>
        <w:tc>
          <w:tcPr>
            <w:tcW w:w="1780" w:type="dxa"/>
            <w:vAlign w:val="bottom"/>
          </w:tcPr>
          <w:p>
            <w:pPr>
              <w:spacing w:after="0"/>
              <w:rPr>
                <w:sz w:val="23"/>
                <w:szCs w:val="23"/>
                <w:color w:val="auto"/>
              </w:rPr>
            </w:pPr>
          </w:p>
        </w:tc>
      </w:tr>
      <w:tr>
        <w:trPr>
          <w:trHeight w:val="159"/>
        </w:trPr>
        <w:tc>
          <w:tcPr>
            <w:tcW w:w="2240" w:type="dxa"/>
            <w:vAlign w:val="bottom"/>
          </w:tcPr>
          <w:p>
            <w:pPr>
              <w:spacing w:after="0"/>
              <w:rPr>
                <w:sz w:val="13"/>
                <w:szCs w:val="13"/>
                <w:color w:val="auto"/>
              </w:rPr>
            </w:pPr>
          </w:p>
        </w:tc>
        <w:tc>
          <w:tcPr>
            <w:tcW w:w="4680" w:type="dxa"/>
            <w:vAlign w:val="bottom"/>
          </w:tcPr>
          <w:p>
            <w:pPr>
              <w:jc w:val="center"/>
              <w:ind w:right="80"/>
              <w:spacing w:after="0"/>
              <w:rPr>
                <w:sz w:val="20"/>
                <w:szCs w:val="20"/>
                <w:color w:val="auto"/>
              </w:rPr>
            </w:pPr>
            <w:r>
              <w:rPr>
                <w:rFonts w:ascii="Times New Roman" w:cs="Times New Roman" w:eastAsia="Times New Roman" w:hAnsi="Times New Roman"/>
                <w:sz w:val="12"/>
                <w:szCs w:val="12"/>
                <w:b w:val="1"/>
                <w:bCs w:val="1"/>
                <w:color w:val="auto"/>
                <w:w w:val="99"/>
              </w:rPr>
              <w:t>(Registrant’s telephone number, including area code)</w:t>
            </w:r>
          </w:p>
        </w:tc>
        <w:tc>
          <w:tcPr>
            <w:tcW w:w="1780" w:type="dxa"/>
            <w:vAlign w:val="bottom"/>
          </w:tcPr>
          <w:p>
            <w:pPr>
              <w:spacing w:after="0"/>
              <w:rPr>
                <w:sz w:val="13"/>
                <w:szCs w:val="13"/>
                <w:color w:val="auto"/>
              </w:rPr>
            </w:pPr>
          </w:p>
        </w:tc>
      </w:tr>
      <w:tr>
        <w:trPr>
          <w:trHeight w:val="273"/>
        </w:trPr>
        <w:tc>
          <w:tcPr>
            <w:tcW w:w="2240" w:type="dxa"/>
            <w:vAlign w:val="bottom"/>
          </w:tcPr>
          <w:p>
            <w:pPr>
              <w:spacing w:after="0"/>
              <w:rPr>
                <w:sz w:val="23"/>
                <w:szCs w:val="23"/>
                <w:color w:val="auto"/>
              </w:rPr>
            </w:pPr>
          </w:p>
        </w:tc>
        <w:tc>
          <w:tcPr>
            <w:tcW w:w="46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6"/>
              </w:rPr>
              <w:t>N/A</w:t>
            </w:r>
          </w:p>
        </w:tc>
        <w:tc>
          <w:tcPr>
            <w:tcW w:w="1780" w:type="dxa"/>
            <w:vAlign w:val="bottom"/>
          </w:tcPr>
          <w:p>
            <w:pPr>
              <w:spacing w:after="0"/>
              <w:rPr>
                <w:sz w:val="23"/>
                <w:szCs w:val="23"/>
                <w:color w:val="auto"/>
              </w:rPr>
            </w:pPr>
          </w:p>
        </w:tc>
      </w:tr>
      <w:tr>
        <w:trPr>
          <w:trHeight w:val="159"/>
        </w:trPr>
        <w:tc>
          <w:tcPr>
            <w:tcW w:w="2240" w:type="dxa"/>
            <w:vAlign w:val="bottom"/>
          </w:tcPr>
          <w:p>
            <w:pPr>
              <w:spacing w:after="0"/>
              <w:rPr>
                <w:sz w:val="13"/>
                <w:szCs w:val="13"/>
                <w:color w:val="auto"/>
              </w:rPr>
            </w:pPr>
          </w:p>
        </w:tc>
        <w:tc>
          <w:tcPr>
            <w:tcW w:w="4680" w:type="dxa"/>
            <w:vAlign w:val="bottom"/>
          </w:tcPr>
          <w:p>
            <w:pPr>
              <w:jc w:val="center"/>
              <w:ind w:right="100"/>
              <w:spacing w:after="0"/>
              <w:rPr>
                <w:sz w:val="20"/>
                <w:szCs w:val="20"/>
                <w:color w:val="auto"/>
              </w:rPr>
            </w:pPr>
            <w:r>
              <w:rPr>
                <w:rFonts w:ascii="Times New Roman" w:cs="Times New Roman" w:eastAsia="Times New Roman" w:hAnsi="Times New Roman"/>
                <w:sz w:val="12"/>
                <w:szCs w:val="12"/>
                <w:b w:val="1"/>
                <w:bCs w:val="1"/>
                <w:color w:val="auto"/>
                <w:w w:val="99"/>
              </w:rPr>
              <w:t>(Former name or former address, if changed since last report)</w:t>
            </w:r>
          </w:p>
        </w:tc>
        <w:tc>
          <w:tcPr>
            <w:tcW w:w="1780" w:type="dxa"/>
            <w:vAlign w:val="bottom"/>
          </w:tcPr>
          <w:p>
            <w:pPr>
              <w:spacing w:after="0"/>
              <w:rPr>
                <w:sz w:val="13"/>
                <w:szCs w:val="13"/>
                <w:color w:val="auto"/>
              </w:rPr>
            </w:pPr>
          </w:p>
        </w:tc>
      </w:tr>
    </w:tbl>
    <w:p>
      <w:pPr>
        <w:spacing w:after="0" w:line="13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150"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287" w:lineRule="exact"/>
        <w:rPr>
          <w:sz w:val="24"/>
          <w:szCs w:val="24"/>
          <w:color w:val="auto"/>
        </w:rPr>
      </w:pPr>
    </w:p>
    <w:p>
      <w:pPr>
        <w:ind w:left="8"/>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p>
      <w:pPr>
        <w:spacing w:after="0" w:line="152" w:lineRule="exact"/>
        <w:rPr>
          <w:sz w:val="24"/>
          <w:szCs w:val="24"/>
          <w:color w:val="auto"/>
        </w:rPr>
      </w:pPr>
    </w:p>
    <w:p>
      <w:pPr>
        <w:ind w:left="1048" w:right="860" w:firstLine="324"/>
        <w:spacing w:after="0" w:line="267" w:lineRule="auto"/>
        <w:rPr>
          <w:sz w:val="20"/>
          <w:szCs w:val="20"/>
          <w:color w:val="auto"/>
        </w:rPr>
      </w:pPr>
      <w:r>
        <w:rPr>
          <w:rFonts w:ascii="Times New Roman" w:cs="Times New Roman" w:eastAsia="Times New Roman" w:hAnsi="Times New Roman"/>
          <w:sz w:val="12"/>
          <w:szCs w:val="12"/>
          <w:color w:val="auto"/>
        </w:rPr>
        <w:t>Title of each class Trading Symbol(s) Name of each exchange on which registered Common Stock, $.01 Par Value UPBD The Nasdaq Global Select Market</w:t>
      </w:r>
    </w:p>
    <w:p>
      <w:pPr>
        <w:spacing w:after="0" w:line="287" w:lineRule="exact"/>
        <w:rPr>
          <w:sz w:val="24"/>
          <w:szCs w:val="24"/>
          <w:color w:val="auto"/>
        </w:rPr>
      </w:pPr>
    </w:p>
    <w:p>
      <w:pPr>
        <w:ind w:left="8"/>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83" w:lineRule="exact"/>
        <w:rPr>
          <w:sz w:val="24"/>
          <w:szCs w:val="24"/>
          <w:color w:val="auto"/>
        </w:rPr>
      </w:pPr>
    </w:p>
    <w:p>
      <w:pPr>
        <w:ind w:left="8"/>
        <w:spacing w:after="0" w:line="138" w:lineRule="exact"/>
        <w:tabs>
          <w:tab w:leader="none" w:pos="1408" w:val="left"/>
        </w:tabs>
        <w:rPr>
          <w:sz w:val="20"/>
          <w:szCs w:val="20"/>
          <w:color w:val="auto"/>
        </w:rPr>
      </w:pPr>
      <w:r>
        <w:rPr>
          <w:rFonts w:ascii="Times New Roman" w:cs="Times New Roman" w:eastAsia="Times New Roman" w:hAnsi="Times New Roman"/>
          <w:sz w:val="12"/>
          <w:szCs w:val="12"/>
          <w:color w:val="auto"/>
        </w:rPr>
        <w:t>Emerging growth company</w:t>
      </w:r>
      <w:r>
        <w:rPr>
          <w:sz w:val="20"/>
          <w:szCs w:val="20"/>
          <w:color w:val="auto"/>
        </w:rPr>
        <w:tab/>
      </w:r>
      <w:r>
        <w:rPr>
          <w:rFonts w:ascii="MS PGothic" w:cs="MS PGothic" w:eastAsia="MS PGothic" w:hAnsi="MS PGothic"/>
          <w:sz w:val="10"/>
          <w:szCs w:val="10"/>
          <w:color w:val="auto"/>
        </w:rPr>
        <w:t>☐</w:t>
      </w:r>
    </w:p>
    <w:p>
      <w:pPr>
        <w:spacing w:after="0" w:line="178" w:lineRule="exact"/>
        <w:rPr>
          <w:sz w:val="24"/>
          <w:szCs w:val="24"/>
          <w:color w:val="auto"/>
        </w:rPr>
      </w:pPr>
    </w:p>
    <w:p>
      <w:pPr>
        <w:ind w:left="8" w:right="20"/>
        <w:spacing w:after="0" w:line="159" w:lineRule="exact"/>
        <w:rPr>
          <w:sz w:val="20"/>
          <w:szCs w:val="20"/>
          <w:color w:val="auto"/>
        </w:rPr>
      </w:pPr>
      <w:r>
        <w:rPr>
          <w:rFonts w:ascii="Times New Roman" w:cs="Times New Roman" w:eastAsia="Times New Roman" w:hAnsi="Times New Roman"/>
          <w:sz w:val="12"/>
          <w:szCs w:val="12"/>
          <w:color w:val="auto"/>
        </w:rPr>
        <w:t>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80645</wp:posOffset>
            </wp:positionV>
            <wp:extent cx="7178040" cy="57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571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97790</wp:posOffset>
            </wp:positionV>
            <wp:extent cx="7178040" cy="114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1143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400685</wp:posOffset>
            </wp:positionV>
            <wp:extent cx="717804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398" w:right="2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b w:val="1"/>
          <w:bCs w:val="1"/>
          <w:color w:val="auto"/>
        </w:rPr>
        <w:t>Item 2.02 Results of Operations and Financial Condition.</w:t>
      </w:r>
    </w:p>
    <w:p>
      <w:pPr>
        <w:spacing w:after="0" w:line="15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On February 20, 2025, Upbound Group, Inc. (the “Company”) issued a press release announcing its financial results for the quarter and fiscal year ended December 31, 2024. Copies of the press release and earnings release are attached hereto as Exhibits 99.1 and 99.2, respectively, and are incorporated herein by reference. The information contained in this paragraph, as well as Exhibits 99.1 and 99.2 referenced herein, shall not be deemed “filed” for purposes of Section 18 of the Securities Exchange Act of 1934, nor shall it be deemed incorporated by reference in any filing under the Securities Act of 1933.</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5.02 Departure of Directors or Certain Officers; Election of Directors; Appointment of Certain Officers; Compensatory Arrangements of Certain Officers</w:t>
      </w:r>
    </w:p>
    <w:p>
      <w:pPr>
        <w:spacing w:after="0" w:line="15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2"/>
          <w:szCs w:val="12"/>
          <w:color w:val="auto"/>
        </w:rPr>
        <w:t>On February 20, 2025, the Company announced by press release that Mr. Mitchell E. Fadel will retire as Chief Executive Officer of the Company and as a member of the Board of Directors of the Company (the “Board”), effective June 1, 2025 (the “Transition Date”). Mr. Fadel will not receive any cash severance benefits in connection with his retirement, but he will receive the equity-award employment termination treatment provided in that certain letter agreement, by and between the Company and Mr. Fadel, dated April 3, 2024, subject to the terms and conditions set forth therein and as previously disclosed in the Company’s Current Report on Form 8-K filed with the SEC on April 5, 2024.</w:t>
      </w:r>
    </w:p>
    <w:p>
      <w:pPr>
        <w:spacing w:after="0" w:line="26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In connection with Mr. Fadel’s retirement, the Company has appointed Mr. Fahmi Karam to succeed Mr. Fadel as Chief Executive Officer of the Company and a member of the Board, effective as of the Transition Date. Mr. Karam, age 46, is currently the Chief Financial Officer of the Company. Mr. Karam has nearly 25 years of experience in strategy, operations and finance. Prior to being appointed as Chief Financial Officer of the Company in October 2022, Mr. Karam held the role of Chief Financial Officer of Santander Consumer USA. Mr. Karam previously served as Santander’s Head of Pricing and Analytics from May 2018 to September 2019 and as Executive Vice President, Strategy and Corporate Development from September 2015 to May 2018. Prior to his roles at Santander, Mr. Karam spent 12 years at JP Morgan Investment Bank and two years at Deloitte Audit Assurance Services.</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2"/>
          <w:szCs w:val="12"/>
          <w:color w:val="auto"/>
        </w:rPr>
        <w:t>On February 19, 2025, Mr. Karam entered into an Employment Agreement with the Company (the “Employment Agreement”), setting forth the terms and conditions of his employment as Chief Executive Officer. Under the Employment Agreement, Mr. Karam will receive, as of the Transition Date, an annual base salary in an amount equal to $1,100,000 and, commencing in 2025, an annual cash bonus with a target equal to 150% of his annual base salary and an annual equity-based award with a target grant date fair value equal to 450% of his annual base salary; provided that Mr. Karam’s annual equity-based award in respect of 2025 will include a provision pursuant to which a portion of such award in an amount equal to the difference between (i) the target grant date fair value of Mr. Karam’s annual equity-based award as Chief Executive Officer and (ii) the target grant date fair value of Mr. Karam’s annual equity-based award as Chief Financial Officer shall be forfeited in the event Mr. Karam does not assume the Chief Executive Officer role on the Transition Date and remains in his Chief Financial Officer role. In addition, Mr. Karam will be eligible to participate in the Company’s employee benefit plans covering employees of the Company on the same terms and conditions as other senior executives of the Company, as described in the Employment Agreement.</w:t>
      </w:r>
    </w:p>
    <w:p>
      <w:pPr>
        <w:spacing w:after="0" w:line="1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2"/>
          <w:szCs w:val="12"/>
          <w:color w:val="auto"/>
        </w:rPr>
        <w:t>Pursuant to the Employment Agreement, in connection with a termination of employment by the Company without “cause” or by Mr. Karam for “good reason” (in each case as defined in the Employment Agreement), subject to Mr. Karam’s execution of a release of claims, Mr. Karam will be entitled to receive the following: (i) two times the sum of Mr. Karam’s annual base salary and target annual bonus (payable in equal installments over 24 months, provided that if such qualifying termination occurs in connection with a “change in control” (as defined in the Employment Agreement), such amounts will be payable in a lump sum), (ii) a pro rata annual bonus for the year of termination based on actual performance (or target performance, if such qualifying termination occurs in connection with a “change in control”), (iii) up to 24 months of benefit continuation coverage and (iv) Mr. Karam’s unvested and outstanding equity-based awards for which he has remained continuously employed from the grant date through the first anniversary of the grant date will be treated as follows: (a) each such award that is subject solely to time-based vesting conditions will be accelerated in full and (b) each such award that is subject to performance-based vesting conditions will remain outstanding and continue to vest in accordance with the award’s original vesting schedule irrespective of the termination of Mr. Karam’s employment, subject to the satisfaction of any applicable performance criteria. If Mr. Karam’s employment is terminated due to death or “disability” (as defined in the Employment Agreement), he will be entitled to a pro rata annual bonus for the year of termination based on actual performance and up to 24 months of benefit continuation coverage. The Employment Agreement also contains non-competition and employee and client non-solicitation covenants that apply during Mr. Karam’s employment and for two years thereafter, as well as perpetual non-disparagement and confidentiality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281305</wp:posOffset>
            </wp:positionV>
            <wp:extent cx="7178040"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647" w:right="299" w:bottom="1440" w:gutter="0" w:footer="0" w:header="0"/>
        </w:sectPr>
      </w:pPr>
    </w:p>
    <w:bookmarkStart w:id="2" w:name="page3"/>
    <w:bookmarkEnd w:id="2"/>
    <w:p>
      <w:pPr>
        <w:jc w:val="both"/>
        <w:spacing w:after="0" w:line="279" w:lineRule="auto"/>
        <w:rPr>
          <w:sz w:val="20"/>
          <w:szCs w:val="20"/>
          <w:color w:val="auto"/>
        </w:rPr>
      </w:pPr>
      <w:r>
        <w:rPr>
          <w:rFonts w:ascii="Times New Roman" w:cs="Times New Roman" w:eastAsia="Times New Roman" w:hAnsi="Times New Roman"/>
          <w:sz w:val="12"/>
          <w:szCs w:val="12"/>
          <w:color w:val="auto"/>
        </w:rPr>
        <w:t>Mr. Karam has no family relationship with any director or executive officer of the Company. Mr. Karam has no direct or indirect material interest in any transaction with the Company that is reportable under Item 404(a) of Regulation S-K, nor have any such transactions been proposed.</w:t>
      </w:r>
    </w:p>
    <w:p>
      <w:pPr>
        <w:spacing w:after="0" w:line="11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Company also announced that Mr. Sudeep Gautam, former Executive Vice President – Chief Technology and Digital Officer, departed the Company, effective February 18, 2025. At that time, Mr. Gautam ceased serving as Executive Vice President – Chief Technology and Digital Officer and as an officer and employee of the Company. In connection with his departure, Mr. Gautam will be entitled to receive the payments and benefits provided by his existing Executive Transition Agreement (“ETA”) between Mr. Gautam and the Company, subject to the terms and conditions of the ETA.</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7.01 Regulation FD Disclosure.</w:t>
      </w:r>
    </w:p>
    <w:p>
      <w:pPr>
        <w:spacing w:after="0" w:line="15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2"/>
          <w:szCs w:val="12"/>
          <w:color w:val="auto"/>
        </w:rPr>
        <w:t>On February 20, 2025, Upbound Group, Inc. issued an investor presentation announcing its financial results for the quarter and fiscal year ended December 31, 2024. A copy of the investor presentation is furnished herewith as Exhibit 99.3 and is incorporated herein by reference. A copy of the press release announcing Mr. Fadel’s retirement, as described under Item 5.02, is furnished herewith as Exhibit 99.4 and is incorporated herein by reference. The information contained in this paragraph, as well as Exhibits 99.3 and 99.4 referenced herein, shall not be deemed “filed” for purposes of Section 18 of the Securities Exchange Act of 1934, nor shall they be deemed incorporated by reference in any filing under the Securities Act of 1933.</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Item 9.01 Financial Statements and Exhibits.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112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 Exhibits.</w:t>
            </w:r>
          </w:p>
        </w:tc>
        <w:tc>
          <w:tcPr>
            <w:tcW w:w="24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80" w:type="dxa"/>
            <w:vAlign w:val="bottom"/>
          </w:tcPr>
          <w:p>
            <w:pPr>
              <w:spacing w:after="0"/>
              <w:rPr>
                <w:sz w:val="13"/>
                <w:szCs w:val="13"/>
                <w:color w:val="auto"/>
              </w:rPr>
            </w:pPr>
          </w:p>
        </w:tc>
        <w:tc>
          <w:tcPr>
            <w:tcW w:w="4960" w:type="dxa"/>
            <w:vAlign w:val="bottom"/>
          </w:tcPr>
          <w:p>
            <w:pPr>
              <w:spacing w:after="0"/>
              <w:rPr>
                <w:sz w:val="13"/>
                <w:szCs w:val="13"/>
                <w:color w:val="auto"/>
              </w:rPr>
            </w:pPr>
          </w:p>
        </w:tc>
      </w:tr>
      <w:tr>
        <w:trPr>
          <w:trHeight w:val="308"/>
        </w:trPr>
        <w:tc>
          <w:tcPr>
            <w:tcW w:w="11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2"/>
                <w:szCs w:val="12"/>
                <w:color w:val="auto"/>
              </w:rPr>
              <w:t>Exhibit No.</w:t>
            </w:r>
          </w:p>
        </w:tc>
        <w:tc>
          <w:tcPr>
            <w:tcW w:w="240" w:type="dxa"/>
            <w:vAlign w:val="bottom"/>
          </w:tcPr>
          <w:p>
            <w:pPr>
              <w:spacing w:after="0"/>
              <w:rPr>
                <w:sz w:val="24"/>
                <w:szCs w:val="24"/>
                <w:color w:val="auto"/>
              </w:rPr>
            </w:pPr>
          </w:p>
        </w:tc>
        <w:tc>
          <w:tcPr>
            <w:tcW w:w="994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86"/>
        </w:trPr>
        <w:tc>
          <w:tcPr>
            <w:tcW w:w="660" w:type="dxa"/>
            <w:vAlign w:val="bottom"/>
            <w:gridSpan w:val="3"/>
          </w:tcPr>
          <w:p>
            <w:pPr>
              <w:jc w:val="center"/>
              <w:ind w:left="402"/>
              <w:spacing w:after="0" w:line="77" w:lineRule="exact"/>
              <w:rPr>
                <w:sz w:val="20"/>
                <w:szCs w:val="20"/>
                <w:color w:val="auto"/>
              </w:rPr>
            </w:pPr>
            <w:r>
              <w:rPr>
                <w:rFonts w:ascii="Times New Roman" w:cs="Times New Roman" w:eastAsia="Times New Roman" w:hAnsi="Times New Roman"/>
                <w:sz w:val="8"/>
                <w:szCs w:val="8"/>
                <w:color w:val="0000EE"/>
              </w:rPr>
              <w:t>10.</w:t>
            </w:r>
            <w:r>
              <w:rPr>
                <w:rFonts w:ascii="Times New Roman" w:cs="Times New Roman" w:eastAsia="Times New Roman" w:hAnsi="Times New Roman"/>
                <w:sz w:val="8"/>
                <w:szCs w:val="8"/>
                <w:u w:val="single" w:color="auto"/>
                <w:color w:val="0000EE"/>
              </w:rPr>
              <w:t>1</w:t>
            </w: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9940" w:type="dxa"/>
            <w:vAlign w:val="bottom"/>
            <w:gridSpan w:val="6"/>
          </w:tcPr>
          <w:p>
            <w:pPr>
              <w:spacing w:after="0" w:line="86" w:lineRule="exact"/>
              <w:rPr>
                <w:sz w:val="20"/>
                <w:szCs w:val="20"/>
                <w:color w:val="auto"/>
              </w:rPr>
            </w:pPr>
            <w:r>
              <w:rPr>
                <w:rFonts w:ascii="Times New Roman" w:cs="Times New Roman" w:eastAsia="Times New Roman" w:hAnsi="Times New Roman"/>
                <w:sz w:val="8"/>
                <w:szCs w:val="8"/>
                <w:color w:val="0000EE"/>
              </w:rPr>
              <w:t>Employment Agreement, by and between the Company and Mr. Fahmi Karam, dated February 19, 2025</w:t>
            </w:r>
          </w:p>
        </w:tc>
      </w:tr>
      <w:tr>
        <w:trPr>
          <w:trHeight w:val="133"/>
        </w:trPr>
        <w:tc>
          <w:tcPr>
            <w:tcW w:w="660" w:type="dxa"/>
            <w:vAlign w:val="bottom"/>
            <w:gridSpan w:val="3"/>
          </w:tcPr>
          <w:p>
            <w:pPr>
              <w:jc w:val="center"/>
              <w:ind w:left="402"/>
              <w:spacing w:after="0" w:line="133"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1</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980" w:type="dxa"/>
            <w:vAlign w:val="bottom"/>
            <w:tcBorders>
              <w:top w:val="single" w:sz="8" w:color="0000EE"/>
            </w:tcBorders>
            <w:gridSpan w:val="5"/>
          </w:tcPr>
          <w:p>
            <w:pPr>
              <w:spacing w:after="0" w:line="133" w:lineRule="exact"/>
              <w:rPr>
                <w:sz w:val="20"/>
                <w:szCs w:val="20"/>
                <w:color w:val="auto"/>
              </w:rPr>
            </w:pPr>
            <w:r>
              <w:rPr>
                <w:rFonts w:ascii="Times New Roman" w:cs="Times New Roman" w:eastAsia="Times New Roman" w:hAnsi="Times New Roman"/>
                <w:sz w:val="12"/>
                <w:szCs w:val="12"/>
                <w:color w:val="0000EE"/>
              </w:rPr>
              <w:t>Press release, dated February 20, 2025</w:t>
            </w:r>
          </w:p>
        </w:tc>
        <w:tc>
          <w:tcPr>
            <w:tcW w:w="4960" w:type="dxa"/>
            <w:vAlign w:val="bottom"/>
          </w:tcPr>
          <w:p>
            <w:pPr>
              <w:spacing w:after="0"/>
              <w:rPr>
                <w:sz w:val="11"/>
                <w:szCs w:val="11"/>
                <w:color w:val="auto"/>
              </w:rPr>
            </w:pP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24"/>
        </w:trPr>
        <w:tc>
          <w:tcPr>
            <w:tcW w:w="660" w:type="dxa"/>
            <w:vAlign w:val="bottom"/>
            <w:gridSpan w:val="3"/>
          </w:tcPr>
          <w:p>
            <w:pPr>
              <w:jc w:val="center"/>
              <w:ind w:left="402"/>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2</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Earnings release, dated February 20, 2025</w:t>
            </w: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2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24"/>
        </w:trPr>
        <w:tc>
          <w:tcPr>
            <w:tcW w:w="660" w:type="dxa"/>
            <w:vAlign w:val="bottom"/>
            <w:gridSpan w:val="3"/>
          </w:tcPr>
          <w:p>
            <w:pPr>
              <w:jc w:val="center"/>
              <w:ind w:left="402"/>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3</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Investor Presentation, dated February 20, 2025</w:t>
            </w:r>
          </w:p>
        </w:tc>
      </w:tr>
      <w:tr>
        <w:trPr>
          <w:trHeight w:val="20"/>
        </w:trPr>
        <w:tc>
          <w:tcPr>
            <w:tcW w:w="460" w:type="dxa"/>
            <w:vAlign w:val="bottom"/>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4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24"/>
        </w:trPr>
        <w:tc>
          <w:tcPr>
            <w:tcW w:w="660" w:type="dxa"/>
            <w:vAlign w:val="bottom"/>
            <w:gridSpan w:val="3"/>
          </w:tcPr>
          <w:p>
            <w:pPr>
              <w:jc w:val="center"/>
              <w:ind w:left="402"/>
              <w:spacing w:after="0" w:line="124" w:lineRule="exact"/>
              <w:rPr>
                <w:sz w:val="20"/>
                <w:szCs w:val="20"/>
                <w:color w:val="auto"/>
              </w:rPr>
            </w:pPr>
            <w:r>
              <w:rPr>
                <w:rFonts w:ascii="Times New Roman" w:cs="Times New Roman" w:eastAsia="Times New Roman" w:hAnsi="Times New Roman"/>
                <w:sz w:val="12"/>
                <w:szCs w:val="12"/>
                <w:color w:val="0000EE"/>
                <w:w w:val="94"/>
              </w:rPr>
              <w:t>99.</w:t>
            </w:r>
            <w:r>
              <w:rPr>
                <w:rFonts w:ascii="Times New Roman" w:cs="Times New Roman" w:eastAsia="Times New Roman" w:hAnsi="Times New Roman"/>
                <w:sz w:val="12"/>
                <w:szCs w:val="12"/>
                <w:u w:val="single" w:color="auto"/>
                <w:color w:val="0000EE"/>
                <w:w w:val="94"/>
              </w:rPr>
              <w:t>4</w:t>
            </w: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940" w:type="dxa"/>
            <w:vAlign w:val="bottom"/>
            <w:gridSpan w:val="6"/>
          </w:tcPr>
          <w:p>
            <w:pPr>
              <w:spacing w:after="0" w:line="124" w:lineRule="exact"/>
              <w:rPr>
                <w:sz w:val="20"/>
                <w:szCs w:val="20"/>
                <w:color w:val="auto"/>
              </w:rPr>
            </w:pPr>
            <w:r>
              <w:rPr>
                <w:rFonts w:ascii="Times New Roman" w:cs="Times New Roman" w:eastAsia="Times New Roman" w:hAnsi="Times New Roman"/>
                <w:sz w:val="12"/>
                <w:szCs w:val="12"/>
                <w:color w:val="0000EE"/>
              </w:rPr>
              <w:t>CEO transition release, dated February 20, 2025</w:t>
            </w:r>
          </w:p>
        </w:tc>
      </w:tr>
      <w:tr>
        <w:trPr>
          <w:trHeight w:val="20"/>
        </w:trPr>
        <w:tc>
          <w:tcPr>
            <w:tcW w:w="480" w:type="dxa"/>
            <w:vAlign w:val="bottom"/>
            <w:gridSpan w:val="2"/>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300" w:type="dxa"/>
            <w:vAlign w:val="bottom"/>
            <w:gridSpan w:val="4"/>
            <w:shd w:val="clear" w:color="auto" w:fill="0000EE"/>
          </w:tcPr>
          <w:p>
            <w:pPr>
              <w:spacing w:after="0" w:line="20" w:lineRule="exact"/>
              <w:rPr>
                <w:sz w:val="1"/>
                <w:szCs w:val="1"/>
                <w:color w:val="auto"/>
              </w:rPr>
            </w:pPr>
          </w:p>
        </w:tc>
        <w:tc>
          <w:tcPr>
            <w:tcW w:w="7640" w:type="dxa"/>
            <w:vAlign w:val="bottom"/>
            <w:gridSpan w:val="2"/>
          </w:tcPr>
          <w:p>
            <w:pPr>
              <w:spacing w:after="0" w:line="20" w:lineRule="exact"/>
              <w:rPr>
                <w:sz w:val="1"/>
                <w:szCs w:val="1"/>
                <w:color w:val="auto"/>
              </w:rPr>
            </w:pPr>
          </w:p>
        </w:tc>
      </w:tr>
      <w:tr>
        <w:trPr>
          <w:trHeight w:val="151"/>
        </w:trPr>
        <w:tc>
          <w:tcPr>
            <w:tcW w:w="660" w:type="dxa"/>
            <w:vAlign w:val="bottom"/>
            <w:gridSpan w:val="3"/>
          </w:tcPr>
          <w:p>
            <w:pPr>
              <w:jc w:val="center"/>
              <w:ind w:left="382"/>
              <w:spacing w:after="0"/>
              <w:rPr>
                <w:sz w:val="20"/>
                <w:szCs w:val="20"/>
                <w:color w:val="auto"/>
              </w:rPr>
            </w:pPr>
            <w:r>
              <w:rPr>
                <w:rFonts w:ascii="Times New Roman" w:cs="Times New Roman" w:eastAsia="Times New Roman" w:hAnsi="Times New Roman"/>
                <w:sz w:val="12"/>
                <w:szCs w:val="12"/>
                <w:color w:val="auto"/>
                <w:w w:val="99"/>
              </w:rPr>
              <w:t>104</w:t>
            </w:r>
          </w:p>
        </w:tc>
        <w:tc>
          <w:tcPr>
            <w:tcW w:w="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940" w:type="dxa"/>
            <w:vAlign w:val="bottom"/>
            <w:gridSpan w:val="6"/>
          </w:tcPr>
          <w:p>
            <w:pPr>
              <w:spacing w:after="0"/>
              <w:rPr>
                <w:sz w:val="20"/>
                <w:szCs w:val="20"/>
                <w:color w:val="auto"/>
              </w:rPr>
            </w:pPr>
            <w:r>
              <w:rPr>
                <w:rFonts w:ascii="Times New Roman" w:cs="Times New Roman" w:eastAsia="Times New Roman" w:hAnsi="Times New Roman"/>
                <w:sz w:val="12"/>
                <w:szCs w:val="12"/>
                <w:color w:val="auto"/>
              </w:rPr>
              <w:t>Cover Page Interactive Data File (embedded within the Inline XBRL document)</w:t>
            </w:r>
          </w:p>
        </w:tc>
      </w:tr>
      <w:tr>
        <w:trPr>
          <w:trHeight w:val="450"/>
        </w:trPr>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496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51" w:right="29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2"/>
          <w:szCs w:val="12"/>
          <w:b w:val="1"/>
          <w:bCs w:val="1"/>
          <w:color w:val="auto"/>
        </w:rPr>
        <w:t>SIGNATURES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hereunto duly authorized.</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400" w:type="dxa"/>
            <w:vAlign w:val="bottom"/>
          </w:tcPr>
          <w:p>
            <w:pPr>
              <w:spacing w:after="0"/>
              <w:rPr>
                <w:sz w:val="13"/>
                <w:szCs w:val="13"/>
                <w:color w:val="auto"/>
              </w:rPr>
            </w:pP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UPBOUND GROUP, INC.</w:t>
            </w:r>
          </w:p>
        </w:tc>
      </w:tr>
      <w:tr>
        <w:trPr>
          <w:trHeight w:val="288"/>
        </w:trPr>
        <w:tc>
          <w:tcPr>
            <w:tcW w:w="3400" w:type="dxa"/>
            <w:vAlign w:val="bottom"/>
          </w:tcPr>
          <w:p>
            <w:pPr>
              <w:spacing w:after="0"/>
              <w:rPr>
                <w:sz w:val="20"/>
                <w:szCs w:val="20"/>
                <w:color w:val="auto"/>
              </w:rPr>
            </w:pPr>
            <w:r>
              <w:rPr>
                <w:rFonts w:ascii="Times New Roman" w:cs="Times New Roman" w:eastAsia="Times New Roman" w:hAnsi="Times New Roman"/>
                <w:sz w:val="12"/>
                <w:szCs w:val="12"/>
                <w:color w:val="auto"/>
              </w:rPr>
              <w:t>Date: February 20, 2025</w:t>
            </w:r>
          </w:p>
        </w:tc>
        <w:tc>
          <w:tcPr>
            <w:tcW w:w="7900" w:type="dxa"/>
            <w:vAlign w:val="bottom"/>
            <w:gridSpan w:val="2"/>
          </w:tcPr>
          <w:p>
            <w:pPr>
              <w:ind w:left="2260"/>
              <w:spacing w:after="0"/>
              <w:rPr>
                <w:sz w:val="20"/>
                <w:szCs w:val="20"/>
                <w:color w:val="auto"/>
              </w:rPr>
            </w:pPr>
            <w:r>
              <w:rPr>
                <w:rFonts w:ascii="Times New Roman" w:cs="Times New Roman" w:eastAsia="Times New Roman" w:hAnsi="Times New Roman"/>
                <w:sz w:val="12"/>
                <w:szCs w:val="12"/>
                <w:color w:val="auto"/>
              </w:rPr>
              <w:t>By:   /s/ Bryan Pechersky</w:t>
            </w:r>
          </w:p>
        </w:tc>
      </w:tr>
      <w:tr>
        <w:trPr>
          <w:trHeight w:val="122"/>
        </w:trPr>
        <w:tc>
          <w:tcPr>
            <w:tcW w:w="340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5320" w:type="dxa"/>
            <w:vAlign w:val="bottom"/>
            <w:tcBorders>
              <w:top w:val="single" w:sz="8" w:color="auto"/>
            </w:tcBorders>
          </w:tcPr>
          <w:p>
            <w:pPr>
              <w:spacing w:after="0" w:line="122" w:lineRule="exact"/>
              <w:rPr>
                <w:sz w:val="20"/>
                <w:szCs w:val="20"/>
                <w:color w:val="auto"/>
              </w:rPr>
            </w:pPr>
            <w:r>
              <w:rPr>
                <w:rFonts w:ascii="Times New Roman" w:cs="Times New Roman" w:eastAsia="Times New Roman" w:hAnsi="Times New Roman"/>
                <w:sz w:val="12"/>
                <w:szCs w:val="12"/>
                <w:color w:val="auto"/>
              </w:rPr>
              <w:t>Bryan Pechersky</w:t>
            </w:r>
          </w:p>
        </w:tc>
      </w:tr>
      <w:tr>
        <w:trPr>
          <w:trHeight w:val="155"/>
        </w:trPr>
        <w:tc>
          <w:tcPr>
            <w:tcW w:w="340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5320" w:type="dxa"/>
            <w:vAlign w:val="bottom"/>
          </w:tcPr>
          <w:p>
            <w:pPr>
              <w:spacing w:after="0"/>
              <w:rPr>
                <w:sz w:val="20"/>
                <w:szCs w:val="20"/>
                <w:color w:val="auto"/>
              </w:rPr>
            </w:pPr>
            <w:r>
              <w:rPr>
                <w:rFonts w:ascii="Times New Roman" w:cs="Times New Roman" w:eastAsia="Times New Roman" w:hAnsi="Times New Roman"/>
                <w:sz w:val="12"/>
                <w:szCs w:val="12"/>
                <w:color w:val="auto"/>
              </w:rPr>
              <w:t>EVP, General Counsel and Corporate Secretary</w:t>
            </w:r>
          </w:p>
        </w:tc>
      </w:tr>
      <w:tr>
        <w:trPr>
          <w:trHeight w:val="450"/>
        </w:trPr>
        <w:tc>
          <w:tcPr>
            <w:tcW w:w="340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53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647" w:right="2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4"/>
          <w:szCs w:val="14"/>
          <w:b w:val="1"/>
          <w:bCs w:val="1"/>
          <w:color w:val="auto"/>
        </w:rPr>
        <w:t>Exhibit 10.1</w:t>
      </w:r>
    </w:p>
    <w:p>
      <w:pPr>
        <w:spacing w:after="0" w:line="1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EMPLOYMENT AGREEMENT</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This EMPLOYMENT AGREEMENT (this “</w:t>
      </w:r>
      <w:r>
        <w:rPr>
          <w:rFonts w:ascii="Times New Roman" w:cs="Times New Roman" w:eastAsia="Times New Roman" w:hAnsi="Times New Roman"/>
          <w:sz w:val="12"/>
          <w:szCs w:val="12"/>
          <w:u w:val="single" w:color="auto"/>
          <w:color w:val="auto"/>
        </w:rPr>
        <w:t>Agreement</w:t>
      </w:r>
      <w:r>
        <w:rPr>
          <w:rFonts w:ascii="Times New Roman" w:cs="Times New Roman" w:eastAsia="Times New Roman" w:hAnsi="Times New Roman"/>
          <w:sz w:val="12"/>
          <w:szCs w:val="12"/>
          <w:color w:val="auto"/>
        </w:rPr>
        <w:t>”), is entered into effective as of February 19, 2025 (the “</w:t>
      </w:r>
      <w:r>
        <w:rPr>
          <w:rFonts w:ascii="Times New Roman" w:cs="Times New Roman" w:eastAsia="Times New Roman" w:hAnsi="Times New Roman"/>
          <w:sz w:val="12"/>
          <w:szCs w:val="12"/>
          <w:u w:val="single" w:color="auto"/>
          <w:color w:val="auto"/>
        </w:rPr>
        <w:t>Effective Date</w:t>
      </w:r>
      <w:r>
        <w:rPr>
          <w:rFonts w:ascii="Times New Roman" w:cs="Times New Roman" w:eastAsia="Times New Roman" w:hAnsi="Times New Roman"/>
          <w:sz w:val="12"/>
          <w:szCs w:val="12"/>
          <w:color w:val="auto"/>
        </w:rPr>
        <w:t>”), by and between UPBOUND GROUP, INC. (the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and FAHMI KARAM</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Executive</w:t>
      </w:r>
      <w:r>
        <w:rPr>
          <w:rFonts w:ascii="Times New Roman" w:cs="Times New Roman" w:eastAsia="Times New Roman" w:hAnsi="Times New Roman"/>
          <w:sz w:val="12"/>
          <w:szCs w:val="12"/>
          <w:color w:val="auto"/>
        </w:rPr>
        <w:t>”).</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Recitals</w:t>
      </w:r>
    </w:p>
    <w:p>
      <w:pPr>
        <w:spacing w:after="0" w:line="154"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WHEREAS, the Company and Executive desire to set forth the terms upon which Executive will continue Executive’s employment with the Company;</w:t>
      </w:r>
    </w:p>
    <w:p>
      <w:pPr>
        <w:spacing w:after="0" w:line="15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NOW, THEREFORE, in consideration of the premises and the mutual covenants set forth below, the parties hereby agree as follows: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u w:val="single" w:color="auto"/>
          <w:color w:val="auto"/>
        </w:rPr>
        <w:t>Agreement</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          </w:t>
      </w:r>
      <w:r>
        <w:rPr>
          <w:rFonts w:ascii="Times New Roman" w:cs="Times New Roman" w:eastAsia="Times New Roman" w:hAnsi="Times New Roman"/>
          <w:sz w:val="12"/>
          <w:szCs w:val="12"/>
          <w:u w:val="single" w:color="auto"/>
          <w:color w:val="auto"/>
        </w:rPr>
        <w:t>  Employment</w:t>
      </w:r>
      <w:r>
        <w:rPr>
          <w:rFonts w:ascii="Times New Roman" w:cs="Times New Roman" w:eastAsia="Times New Roman" w:hAnsi="Times New Roman"/>
          <w:sz w:val="12"/>
          <w:szCs w:val="12"/>
          <w:color w:val="auto"/>
        </w:rPr>
        <w:t>. The Company hereby agrees to employ Executive, and Executive hereby accepts such employment, on and subject to the terms and conditions set forth herein.</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          </w:t>
      </w:r>
      <w:r>
        <w:rPr>
          <w:rFonts w:ascii="Times New Roman" w:cs="Times New Roman" w:eastAsia="Times New Roman" w:hAnsi="Times New Roman"/>
          <w:sz w:val="12"/>
          <w:szCs w:val="12"/>
          <w:u w:val="single" w:color="auto"/>
          <w:color w:val="auto"/>
        </w:rPr>
        <w:t>  Term</w:t>
      </w:r>
      <w:r>
        <w:rPr>
          <w:rFonts w:ascii="Times New Roman" w:cs="Times New Roman" w:eastAsia="Times New Roman" w:hAnsi="Times New Roman"/>
          <w:sz w:val="12"/>
          <w:szCs w:val="12"/>
          <w:color w:val="auto"/>
        </w:rPr>
        <w:t>. Executive’s employment shall continue under this Agreement commencing on June 1, 2025 (the “</w:t>
      </w:r>
      <w:r>
        <w:rPr>
          <w:rFonts w:ascii="Times New Roman" w:cs="Times New Roman" w:eastAsia="Times New Roman" w:hAnsi="Times New Roman"/>
          <w:sz w:val="12"/>
          <w:szCs w:val="12"/>
          <w:u w:val="single" w:color="auto"/>
          <w:color w:val="auto"/>
        </w:rPr>
        <w:t>Commencement Date</w:t>
      </w:r>
      <w:r>
        <w:rPr>
          <w:rFonts w:ascii="Times New Roman" w:cs="Times New Roman" w:eastAsia="Times New Roman" w:hAnsi="Times New Roman"/>
          <w:sz w:val="12"/>
          <w:szCs w:val="12"/>
          <w:color w:val="auto"/>
        </w:rPr>
        <w:t xml:space="preserve">”) until otherwise terminated pursuant to </w:t>
      </w:r>
      <w:r>
        <w:rPr>
          <w:rFonts w:ascii="Times New Roman" w:cs="Times New Roman" w:eastAsia="Times New Roman" w:hAnsi="Times New Roman"/>
          <w:sz w:val="12"/>
          <w:szCs w:val="12"/>
          <w:u w:val="single" w:color="auto"/>
          <w:color w:val="auto"/>
        </w:rPr>
        <w:t>Sections 6</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7</w:t>
      </w:r>
      <w:r>
        <w:rPr>
          <w:rFonts w:ascii="Times New Roman" w:cs="Times New Roman" w:eastAsia="Times New Roman" w:hAnsi="Times New Roman"/>
          <w:sz w:val="12"/>
          <w:szCs w:val="12"/>
          <w:color w:val="auto"/>
        </w:rPr>
        <w:t xml:space="preserve"> of this Agreement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t>
      </w:r>
      <w:r>
        <w:rPr>
          <w:rFonts w:ascii="Times New Roman" w:cs="Times New Roman" w:eastAsia="Times New Roman" w:hAnsi="Times New Roman"/>
          <w:sz w:val="12"/>
          <w:szCs w:val="12"/>
          <w:u w:val="single" w:color="auto"/>
          <w:color w:val="auto"/>
        </w:rPr>
        <w:t>Employment Period</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auto"/>
        </w:rPr>
        <w:t>3.          </w:t>
      </w:r>
      <w:r>
        <w:rPr>
          <w:rFonts w:ascii="Times New Roman" w:cs="Times New Roman" w:eastAsia="Times New Roman" w:hAnsi="Times New Roman"/>
          <w:sz w:val="12"/>
          <w:szCs w:val="12"/>
          <w:u w:val="single" w:color="auto"/>
          <w:color w:val="auto"/>
        </w:rPr>
        <w:t>  Position and Duties</w:t>
      </w:r>
      <w:r>
        <w:rPr>
          <w:rFonts w:ascii="Times New Roman" w:cs="Times New Roman" w:eastAsia="Times New Roman" w:hAnsi="Times New Roman"/>
          <w:sz w:val="12"/>
          <w:szCs w:val="12"/>
          <w:color w:val="auto"/>
        </w:rPr>
        <w:t>. During the Employment Period, Executive shall serve as the Chief Executive Officer of the Company. Executive shall report directly to the Board of Directors of the Company (the “</w:t>
      </w:r>
      <w:r>
        <w:rPr>
          <w:rFonts w:ascii="Times New Roman" w:cs="Times New Roman" w:eastAsia="Times New Roman" w:hAnsi="Times New Roman"/>
          <w:sz w:val="12"/>
          <w:szCs w:val="12"/>
          <w:u w:val="single" w:color="auto"/>
          <w:color w:val="auto"/>
        </w:rPr>
        <w:t>Board</w:t>
      </w:r>
      <w:r>
        <w:rPr>
          <w:rFonts w:ascii="Times New Roman" w:cs="Times New Roman" w:eastAsia="Times New Roman" w:hAnsi="Times New Roman"/>
          <w:sz w:val="12"/>
          <w:szCs w:val="12"/>
          <w:color w:val="auto"/>
        </w:rPr>
        <w:t xml:space="preserve">”) and will have such executive and managerial powers, duties and responsibilities as are assigned to him by the Board, consistent with his position as Chief Executive Officer. The Company agrees to use its reasonable best efforts to cause Executive to be a member of the Board. At the request of the Board, Executive shall serve as an officer and/or director of the Company’s subsidiaries and other Affiliates upon the terms and conditions agreed to by the parties, but without additional compensation. Executive shall devote substantially all of his business time, attention, knowledge and skills faithfully and to the best of his ability to the performance of the obligations, duties and responsibilities of his position as Chief Executive Officer of the Company and in furtherance of the business, affairs, policies, codes of conduct and activities of the Company. Without the consent of the Board, during the Employment Period, Executive will not serve on the board of directors, trustees or any similar governing body of any outside entity (with the exception of any entity which has been disclosed to the Company on a list provided to the Company by Executive coincident with the execution of this Agreement);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 the Board may require Executive to step down from any such position at any time if it determines appropriate in its </w:t>
      </w:r>
      <w:r>
        <w:rPr>
          <w:rFonts w:ascii="Times New Roman" w:cs="Times New Roman" w:eastAsia="Times New Roman" w:hAnsi="Times New Roman"/>
          <w:sz w:val="12"/>
          <w:szCs w:val="12"/>
          <w:u w:val="single" w:color="auto"/>
          <w:color w:val="auto"/>
        </w:rPr>
        <w:t>sole</w:t>
      </w:r>
      <w:r>
        <w:rPr>
          <w:rFonts w:ascii="Times New Roman" w:cs="Times New Roman" w:eastAsia="Times New Roman" w:hAnsi="Times New Roman"/>
          <w:sz w:val="12"/>
          <w:szCs w:val="12"/>
          <w:color w:val="auto"/>
        </w:rPr>
        <w:t xml:space="preserve"> discretion. Notwithstanding the above, Executive will be permitted, to the extent such activities do not conflict or interfere with the performance by Executive of his duties and responsibilities hereunder, violate </w:t>
      </w:r>
      <w:r>
        <w:rPr>
          <w:rFonts w:ascii="Times New Roman" w:cs="Times New Roman" w:eastAsia="Times New Roman" w:hAnsi="Times New Roman"/>
          <w:sz w:val="12"/>
          <w:szCs w:val="12"/>
          <w:u w:val="single" w:color="auto"/>
          <w:color w:val="auto"/>
        </w:rPr>
        <w:t>Section 13</w:t>
      </w:r>
      <w:r>
        <w:rPr>
          <w:rFonts w:ascii="Times New Roman" w:cs="Times New Roman" w:eastAsia="Times New Roman" w:hAnsi="Times New Roman"/>
          <w:sz w:val="12"/>
          <w:szCs w:val="12"/>
          <w:color w:val="auto"/>
        </w:rPr>
        <w:t xml:space="preserve"> or violate any Company written policy, to manage his (and his immediate family’s) personal financial and legal affairs and serve on the board of directors of, or otherwise engage in activities associated with, non-profit, charitable and community organizations and entities.  </w:t>
      </w:r>
    </w:p>
    <w:p>
      <w:pPr>
        <w:spacing w:after="0" w:line="2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4.          </w:t>
      </w:r>
      <w:r>
        <w:rPr>
          <w:rFonts w:ascii="Times New Roman" w:cs="Times New Roman" w:eastAsia="Times New Roman" w:hAnsi="Times New Roman"/>
          <w:sz w:val="12"/>
          <w:szCs w:val="12"/>
          <w:u w:val="single" w:color="auto"/>
          <w:color w:val="auto"/>
        </w:rPr>
        <w:t>  Annual Compensation</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Base Salary</w:t>
      </w:r>
      <w:r>
        <w:rPr>
          <w:rFonts w:ascii="Times New Roman" w:cs="Times New Roman" w:eastAsia="Times New Roman" w:hAnsi="Times New Roman"/>
          <w:sz w:val="12"/>
          <w:szCs w:val="12"/>
          <w:color w:val="000000"/>
        </w:rPr>
        <w:t>. During the Employment Period, the Company will pay salary to Executive at an annual rate of $1,100,000, in accordance with the Company’s regular payroll practices. The Board and/or the Compensation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Committee of the Board (the “</w:t>
      </w:r>
      <w:r>
        <w:rPr>
          <w:rFonts w:ascii="Times New Roman" w:cs="Times New Roman" w:eastAsia="Times New Roman" w:hAnsi="Times New Roman"/>
          <w:sz w:val="12"/>
          <w:szCs w:val="12"/>
          <w:u w:val="single" w:color="auto"/>
          <w:color w:val="000000"/>
        </w:rPr>
        <w:t>Compensation Committee</w:t>
      </w:r>
      <w:r>
        <w:rPr>
          <w:rFonts w:ascii="Times New Roman" w:cs="Times New Roman" w:eastAsia="Times New Roman" w:hAnsi="Times New Roman"/>
          <w:sz w:val="12"/>
          <w:szCs w:val="12"/>
          <w:color w:val="000000"/>
        </w:rPr>
        <w:t xml:space="preserve">”) will review Executive’s salary at least annually. The Board, acting in its discretion, may increase (but may not decrease) the annual rate of Executive’s salary in effect at any time. Executive’s annual salary, as may be increased by the Board pursuant to this </w:t>
      </w:r>
      <w:r>
        <w:rPr>
          <w:rFonts w:ascii="Times New Roman" w:cs="Times New Roman" w:eastAsia="Times New Roman" w:hAnsi="Times New Roman"/>
          <w:sz w:val="12"/>
          <w:szCs w:val="12"/>
          <w:u w:val="single" w:color="auto"/>
          <w:color w:val="000000"/>
        </w:rPr>
        <w:t>Section 4(a)</w:t>
      </w:r>
      <w:r>
        <w:rPr>
          <w:rFonts w:ascii="Times New Roman" w:cs="Times New Roman" w:eastAsia="Times New Roman" w:hAnsi="Times New Roman"/>
          <w:sz w:val="12"/>
          <w:szCs w:val="12"/>
          <w:color w:val="000000"/>
        </w:rPr>
        <w:t>, is referred to herein as the “</w:t>
      </w:r>
      <w:r>
        <w:rPr>
          <w:rFonts w:ascii="Times New Roman" w:cs="Times New Roman" w:eastAsia="Times New Roman" w:hAnsi="Times New Roman"/>
          <w:sz w:val="12"/>
          <w:szCs w:val="12"/>
          <w:u w:val="single" w:color="auto"/>
          <w:color w:val="000000"/>
        </w:rPr>
        <w:t>Base Salary</w:t>
      </w:r>
      <w:r>
        <w:rPr>
          <w:rFonts w:ascii="Times New Roman" w:cs="Times New Roman" w:eastAsia="Times New Roman" w:hAnsi="Times New Roman"/>
          <w:sz w:val="12"/>
          <w:szCs w:val="12"/>
          <w:color w:val="000000"/>
        </w:rPr>
        <w:t>”.  </w:t>
      </w:r>
    </w:p>
    <w:p>
      <w:pPr>
        <w:spacing w:after="0" w:line="136"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i w:val="1"/>
          <w:iCs w:val="1"/>
          <w:color w:val="000000"/>
        </w:rPr>
        <w:t>Bonus</w:t>
      </w:r>
      <w:r>
        <w:rPr>
          <w:rFonts w:ascii="Times New Roman" w:cs="Times New Roman" w:eastAsia="Times New Roman" w:hAnsi="Times New Roman"/>
          <w:sz w:val="12"/>
          <w:szCs w:val="12"/>
          <w:color w:val="000000"/>
        </w:rPr>
        <w:t>. Commencing in 2025 and during the Employment Period, Executive will be eligible for an annual cash bonus with a target equal to one hundred and fifty (150%) of Executive’s Base Salary in accordance with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Company’s annual incentive program for similarly situated executives, as in effect from time to time. The actual amount of the annual cash bonus, if any, will be payable to Executive in the normal course of the Company’s completion of annual bonus calculations, but in no event later than </w:t>
      </w:r>
      <w:r>
        <w:rPr>
          <w:rFonts w:ascii="Times New Roman" w:cs="Times New Roman" w:eastAsia="Times New Roman" w:hAnsi="Times New Roman"/>
          <w:sz w:val="12"/>
          <w:szCs w:val="12"/>
          <w:u w:val="single" w:color="auto"/>
          <w:color w:val="000000"/>
        </w:rPr>
        <w:t>March 15</w:t>
      </w:r>
      <w:r>
        <w:rPr>
          <w:rFonts w:ascii="Times New Roman" w:cs="Times New Roman" w:eastAsia="Times New Roman" w:hAnsi="Times New Roman"/>
          <w:sz w:val="12"/>
          <w:szCs w:val="12"/>
          <w:color w:val="000000"/>
        </w:rPr>
        <w:t xml:space="preserve"> of the year following the year in which such bonus is earned, and shall be consistent with the payment of annual incentive compensation to senior executives generally.  </w:t>
      </w:r>
    </w:p>
    <w:p>
      <w:pPr>
        <w:spacing w:after="0" w:line="1"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i w:val="1"/>
          <w:iCs w:val="1"/>
          <w:color w:val="000000"/>
        </w:rPr>
        <w:t>Annual Equity-Based Awards</w:t>
      </w:r>
      <w:r>
        <w:rPr>
          <w:rFonts w:ascii="Times New Roman" w:cs="Times New Roman" w:eastAsia="Times New Roman" w:hAnsi="Times New Roman"/>
          <w:sz w:val="12"/>
          <w:szCs w:val="12"/>
          <w:color w:val="000000"/>
        </w:rPr>
        <w:t>. Commencing in 2025 and continuing during the Employment Period, Executive will be eligible to receive an annual equity-based award under the Company’s Amended 2021 Long-Term</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Incentive Plan or any successor plan thereto (the “</w:t>
      </w:r>
      <w:r>
        <w:rPr>
          <w:rFonts w:ascii="Times New Roman" w:cs="Times New Roman" w:eastAsia="Times New Roman" w:hAnsi="Times New Roman"/>
          <w:sz w:val="12"/>
          <w:szCs w:val="12"/>
          <w:u w:val="single" w:color="auto"/>
          <w:color w:val="000000"/>
        </w:rPr>
        <w:t>Plan</w:t>
      </w:r>
      <w:r>
        <w:rPr>
          <w:rFonts w:ascii="Times New Roman" w:cs="Times New Roman" w:eastAsia="Times New Roman" w:hAnsi="Times New Roman"/>
          <w:sz w:val="12"/>
          <w:szCs w:val="12"/>
          <w:color w:val="000000"/>
        </w:rPr>
        <w:t xml:space="preserve">”), with a target grant date fair value equal to four hundred and fifty (450%) of Executive’s Base Salary; </w:t>
      </w:r>
      <w:r>
        <w:rPr>
          <w:rFonts w:ascii="Times New Roman" w:cs="Times New Roman" w:eastAsia="Times New Roman" w:hAnsi="Times New Roman"/>
          <w:sz w:val="12"/>
          <w:szCs w:val="12"/>
          <w:u w:val="single" w:color="auto"/>
          <w:color w:val="000000"/>
        </w:rPr>
        <w:t>provided</w:t>
      </w:r>
      <w:r>
        <w:rPr>
          <w:rFonts w:ascii="Times New Roman" w:cs="Times New Roman" w:eastAsia="Times New Roman" w:hAnsi="Times New Roman"/>
          <w:sz w:val="12"/>
          <w:szCs w:val="12"/>
          <w:color w:val="000000"/>
        </w:rPr>
        <w:t>, that the annual equity-based award granted to Executive in respect of 2025 will include a provision pursuant to which a portion of such award in an amount equal to the difference between (i) the target grant date fair value of Executive’s annual equity-based award as Chief Executive Officer (i.e., $4,950,000.00) and (ii) the target grant date fair value of Executive’s annual equity-based award as Chief Financial Officer (i.e., $1,291,800.00) shall be forfeited in the event Executive does not commence employment as Chief Executive Officer of the Company on the Commencement Date and remains in his Chief Financial Officer role. All annual equity-based awards will be made in accordance with the terms of the Plan and with such terms and conditions established by the Compensation Committee in its sole discretion, as set forth in the applicable award agreement, and as modified by this Agreement.  </w:t>
      </w:r>
    </w:p>
    <w:p>
      <w:pPr>
        <w:spacing w:after="0" w:line="13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5.          </w:t>
      </w:r>
      <w:r>
        <w:rPr>
          <w:rFonts w:ascii="Times New Roman" w:cs="Times New Roman" w:eastAsia="Times New Roman" w:hAnsi="Times New Roman"/>
          <w:sz w:val="12"/>
          <w:szCs w:val="12"/>
          <w:u w:val="single" w:color="auto"/>
          <w:color w:val="auto"/>
        </w:rPr>
        <w:t>  Employee Benefit Programs and Perquisites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General</w:t>
      </w:r>
      <w:r>
        <w:rPr>
          <w:rFonts w:ascii="Times New Roman" w:cs="Times New Roman" w:eastAsia="Times New Roman" w:hAnsi="Times New Roman"/>
          <w:sz w:val="12"/>
          <w:szCs w:val="12"/>
          <w:color w:val="000000"/>
        </w:rPr>
        <w:t>. Subject to the provisions of this Agreement, during the Employment Period, Executive will be entitled to participate in such employee benefit plans and programs of the Company as are made available to other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senior executives of the Company from time to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i w:val="1"/>
          <w:iCs w:val="1"/>
          <w:color w:val="000000"/>
        </w:rPr>
        <w:t>Reimbursement of Business Expenses</w:t>
      </w:r>
      <w:r>
        <w:rPr>
          <w:rFonts w:ascii="Times New Roman" w:cs="Times New Roman" w:eastAsia="Times New Roman" w:hAnsi="Times New Roman"/>
          <w:sz w:val="12"/>
          <w:szCs w:val="12"/>
          <w:color w:val="000000"/>
        </w:rPr>
        <w:t>. Subject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23(c)</w:t>
      </w:r>
      <w:r>
        <w:rPr>
          <w:rFonts w:ascii="Times New Roman" w:cs="Times New Roman" w:eastAsia="Times New Roman" w:hAnsi="Times New Roman"/>
          <w:sz w:val="12"/>
          <w:szCs w:val="12"/>
          <w:color w:val="000000"/>
        </w:rPr>
        <w:t>, during the Employment Period, Executive is hereby authorized to incur reasonable expenses in carrying out his duties and responsibilities under this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and the Company will promptly reimburse him for all expenses that are so incurred upon presentation of appropriate vouchers or receipts, subject to the Company’s expense reimbursement policies applicable to senior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executives generally as in effect from time to time.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i w:val="1"/>
          <w:iCs w:val="1"/>
          <w:color w:val="000000"/>
        </w:rPr>
        <w:t>Place of Employment</w:t>
      </w:r>
      <w:r>
        <w:rPr>
          <w:rFonts w:ascii="Times New Roman" w:cs="Times New Roman" w:eastAsia="Times New Roman" w:hAnsi="Times New Roman"/>
          <w:sz w:val="12"/>
          <w:szCs w:val="12"/>
          <w:color w:val="000000"/>
        </w:rPr>
        <w:t>. Executive’s place of employment during the Employment Period will be at the principal office of the Company in Plano, Texas, subject to the need for reasonable business travel. The conditions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Executive’s employment, including, without limitation, office space and accouterments, secretarial, administrative and other support, will be consistent with his status as the Chief Executive Officer of the Company.  </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6.          </w:t>
      </w:r>
      <w:r>
        <w:rPr>
          <w:rFonts w:ascii="Times New Roman" w:cs="Times New Roman" w:eastAsia="Times New Roman" w:hAnsi="Times New Roman"/>
          <w:sz w:val="12"/>
          <w:szCs w:val="12"/>
          <w:u w:val="single" w:color="auto"/>
          <w:color w:val="auto"/>
        </w:rPr>
        <w:t>  Reasons for Termination of Employment</w:t>
      </w:r>
      <w:r>
        <w:rPr>
          <w:rFonts w:ascii="Times New Roman" w:cs="Times New Roman" w:eastAsia="Times New Roman" w:hAnsi="Times New Roman"/>
          <w:sz w:val="12"/>
          <w:szCs w:val="12"/>
          <w:color w:val="auto"/>
        </w:rPr>
        <w:t>. Executive’s employment hereunder may be terminated under the following circumstances: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Death</w:t>
      </w:r>
      <w:r>
        <w:rPr>
          <w:rFonts w:ascii="Times New Roman" w:cs="Times New Roman" w:eastAsia="Times New Roman" w:hAnsi="Times New Roman"/>
          <w:sz w:val="12"/>
          <w:szCs w:val="12"/>
          <w:color w:val="000000"/>
        </w:rPr>
        <w:t>. Executive’s employment hereunder will terminate upon his death.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i w:val="1"/>
          <w:iCs w:val="1"/>
          <w:color w:val="000000"/>
        </w:rPr>
        <w:t>Disability</w:t>
      </w:r>
      <w:r>
        <w:rPr>
          <w:rFonts w:ascii="Times New Roman" w:cs="Times New Roman" w:eastAsia="Times New Roman" w:hAnsi="Times New Roman"/>
          <w:sz w:val="12"/>
          <w:szCs w:val="12"/>
          <w:color w:val="000000"/>
        </w:rPr>
        <w:t>. The Company may terminate Executive’s employment hereunder due to “</w:t>
      </w:r>
      <w:r>
        <w:rPr>
          <w:rFonts w:ascii="Times New Roman" w:cs="Times New Roman" w:eastAsia="Times New Roman" w:hAnsi="Times New Roman"/>
          <w:sz w:val="12"/>
          <w:szCs w:val="12"/>
          <w:u w:val="single" w:color="auto"/>
          <w:color w:val="000000"/>
        </w:rPr>
        <w:t>Disability</w:t>
      </w:r>
      <w:r>
        <w:rPr>
          <w:rFonts w:ascii="Times New Roman" w:cs="Times New Roman" w:eastAsia="Times New Roman" w:hAnsi="Times New Roman"/>
          <w:sz w:val="12"/>
          <w:szCs w:val="12"/>
          <w:color w:val="000000"/>
        </w:rPr>
        <w:t>”. “</w:t>
      </w:r>
      <w:r>
        <w:rPr>
          <w:rFonts w:ascii="Times New Roman" w:cs="Times New Roman" w:eastAsia="Times New Roman" w:hAnsi="Times New Roman"/>
          <w:sz w:val="12"/>
          <w:szCs w:val="12"/>
          <w:u w:val="single" w:color="auto"/>
          <w:color w:val="000000"/>
        </w:rPr>
        <w:t>Disability</w:t>
      </w:r>
      <w:r>
        <w:rPr>
          <w:rFonts w:ascii="Times New Roman" w:cs="Times New Roman" w:eastAsia="Times New Roman" w:hAnsi="Times New Roman"/>
          <w:sz w:val="12"/>
          <w:szCs w:val="12"/>
          <w:color w:val="000000"/>
        </w:rPr>
        <w:t>” shall mean the inability of Executive to substantially perform the customary duties and responsibilities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Executive’s role hereunder, with or without a reasonable accommodation, for a continuous period of at least one hundred and twenty (120) days, or a total of one hundred and fifty (150) days in any consecutive twelve (12)-month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period, by reason of a physical or mental incapacity which is expected to result in death or last indefinitely, as determined by a duly licensed physician with a specialty in the field that is qualified to treat Executive’s medical condition,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who is appointed by the Company and reasonably acceptable to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i w:val="1"/>
          <w:iCs w:val="1"/>
          <w:color w:val="000000"/>
        </w:rPr>
        <w:t>Cause</w:t>
      </w:r>
      <w:r>
        <w:rPr>
          <w:rFonts w:ascii="Times New Roman" w:cs="Times New Roman" w:eastAsia="Times New Roman" w:hAnsi="Times New Roman"/>
          <w:sz w:val="12"/>
          <w:szCs w:val="12"/>
          <w:color w:val="000000"/>
        </w:rPr>
        <w:t>. The Company may terminate Executive’s employment hereunder for “</w:t>
      </w:r>
      <w:r>
        <w:rPr>
          <w:rFonts w:ascii="Times New Roman" w:cs="Times New Roman" w:eastAsia="Times New Roman" w:hAnsi="Times New Roman"/>
          <w:sz w:val="12"/>
          <w:szCs w:val="12"/>
          <w:u w:val="single" w:color="auto"/>
          <w:color w:val="000000"/>
        </w:rPr>
        <w:t>Cause</w:t>
      </w:r>
      <w:r>
        <w:rPr>
          <w:rFonts w:ascii="Times New Roman" w:cs="Times New Roman" w:eastAsia="Times New Roman" w:hAnsi="Times New Roman"/>
          <w:sz w:val="12"/>
          <w:szCs w:val="12"/>
          <w:color w:val="000000"/>
        </w:rPr>
        <w:t>”. For purposes of this Agreement, the Company will have “</w:t>
      </w:r>
      <w:r>
        <w:rPr>
          <w:rFonts w:ascii="Times New Roman" w:cs="Times New Roman" w:eastAsia="Times New Roman" w:hAnsi="Times New Roman"/>
          <w:sz w:val="12"/>
          <w:szCs w:val="12"/>
          <w:u w:val="single" w:color="auto"/>
          <w:color w:val="000000"/>
        </w:rPr>
        <w:t>Cause</w:t>
      </w:r>
      <w:r>
        <w:rPr>
          <w:rFonts w:ascii="Times New Roman" w:cs="Times New Roman" w:eastAsia="Times New Roman" w:hAnsi="Times New Roman"/>
          <w:sz w:val="12"/>
          <w:szCs w:val="12"/>
          <w:color w:val="000000"/>
        </w:rPr>
        <w:t>” to terminate Executive’s employment upon Executive’s: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material act or acts of willful misconduct, in violation of the Company’s policies, including, without limitation, the Company’s Code of Business Conduct and Ethics, or otherwise;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(ii)            </w:t>
      </w:r>
      <w:r>
        <w:rPr>
          <w:rFonts w:ascii="Times New Roman" w:cs="Times New Roman" w:eastAsia="Times New Roman" w:hAnsi="Times New Roman"/>
          <w:sz w:val="12"/>
          <w:szCs w:val="12"/>
          <w:color w:val="000000"/>
        </w:rPr>
        <w:t>willful and repeated failure (except where due to physical or mental incapacity) or refusal to perform in any material respect the duties and responsibilities of Executive’s employment;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(iii)           </w:t>
      </w:r>
      <w:r>
        <w:rPr>
          <w:rFonts w:ascii="Times New Roman" w:cs="Times New Roman" w:eastAsia="Times New Roman" w:hAnsi="Times New Roman"/>
          <w:sz w:val="12"/>
          <w:szCs w:val="12"/>
          <w:color w:val="000000"/>
        </w:rPr>
        <w:t>commitment of embezzlement or fraud, at Executive’s direction, or with Executive’s prior personal knowledge;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(iv)           </w:t>
      </w:r>
      <w:r>
        <w:rPr>
          <w:rFonts w:ascii="Times New Roman" w:cs="Times New Roman" w:eastAsia="Times New Roman" w:hAnsi="Times New Roman"/>
          <w:sz w:val="12"/>
          <w:szCs w:val="12"/>
          <w:color w:val="000000"/>
        </w:rPr>
        <w:t>conviction of, or plea of guilty or nolo contendere to, the commission of a felony;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010000"/>
        </w:rPr>
        <w:t>(v)            </w:t>
      </w:r>
      <w:r>
        <w:rPr>
          <w:rFonts w:ascii="Times New Roman" w:cs="Times New Roman" w:eastAsia="Times New Roman" w:hAnsi="Times New Roman"/>
          <w:sz w:val="11"/>
          <w:szCs w:val="11"/>
          <w:color w:val="000000"/>
        </w:rPr>
        <w:t>substance abuse or use of illegal drugs that, in the reasonable judgment of the Compensation Committee, (1) impairs the ability of Executive to perform the duties of Executive’s employment, or (2) causes or 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likely to cause harm or embarrassment to the Company or any of its Affiliates.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Except as specified, the Compensation Committee, acting in its own discretion, will be responsible for determining whether particular conduct constitutes Cause for the purposes of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i w:val="1"/>
          <w:iCs w:val="1"/>
          <w:color w:val="000000"/>
        </w:rPr>
        <w:t>Good Reason</w:t>
      </w:r>
      <w:r>
        <w:rPr>
          <w:rFonts w:ascii="Times New Roman" w:cs="Times New Roman" w:eastAsia="Times New Roman" w:hAnsi="Times New Roman"/>
          <w:sz w:val="12"/>
          <w:szCs w:val="12"/>
          <w:color w:val="000000"/>
        </w:rPr>
        <w:t>. Executive may terminate his employment hereunder for “</w:t>
      </w:r>
      <w:r>
        <w:rPr>
          <w:rFonts w:ascii="Times New Roman" w:cs="Times New Roman" w:eastAsia="Times New Roman" w:hAnsi="Times New Roman"/>
          <w:sz w:val="12"/>
          <w:szCs w:val="12"/>
          <w:u w:val="single" w:color="auto"/>
          <w:color w:val="000000"/>
        </w:rPr>
        <w:t>Good Reason</w:t>
      </w:r>
      <w:r>
        <w:rPr>
          <w:rFonts w:ascii="Times New Roman" w:cs="Times New Roman" w:eastAsia="Times New Roman" w:hAnsi="Times New Roman"/>
          <w:sz w:val="12"/>
          <w:szCs w:val="12"/>
          <w:color w:val="000000"/>
        </w:rPr>
        <w:t>” within ninety (90) days after Executive has actual knowledge of the occurrence of one of the following events to which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did not consent in writing and that has not been cured within thirty (30) days after written notice thereof has been given by Executive to the Company setting forth in reasonable detail the basis of the event (provided that such notice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must be given to the Company within thirty (30) days of Executive becoming aware of such condition):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010000"/>
        </w:rPr>
        <w:t>(i)             </w:t>
      </w:r>
      <w:r>
        <w:rPr>
          <w:rFonts w:ascii="Times New Roman" w:cs="Times New Roman" w:eastAsia="Times New Roman" w:hAnsi="Times New Roman"/>
          <w:sz w:val="11"/>
          <w:szCs w:val="11"/>
          <w:color w:val="000000"/>
        </w:rPr>
        <w:t>a material diminution by the Company of Executive’s duties or responsibilities in a manner which is inconsistent with Executive’s position or which has or is reasonably likely to have a material adverse effect 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Executive’s status or authority;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(ii)            </w:t>
      </w:r>
      <w:r>
        <w:rPr>
          <w:rFonts w:ascii="Times New Roman" w:cs="Times New Roman" w:eastAsia="Times New Roman" w:hAnsi="Times New Roman"/>
          <w:sz w:val="12"/>
          <w:szCs w:val="12"/>
          <w:color w:val="000000"/>
        </w:rPr>
        <w:t>a relocation by more than fifty (50) miles of Executive’s principal place of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(iii)            </w:t>
      </w:r>
      <w:r>
        <w:rPr>
          <w:rFonts w:ascii="Times New Roman" w:cs="Times New Roman" w:eastAsia="Times New Roman" w:hAnsi="Times New Roman"/>
          <w:sz w:val="12"/>
          <w:szCs w:val="12"/>
          <w:color w:val="000000"/>
        </w:rPr>
        <w:t>a reduction by the Company of Executive’s rate of salary or annual incentive bonus opportunity;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(iv)            </w:t>
      </w:r>
      <w:r>
        <w:rPr>
          <w:rFonts w:ascii="Times New Roman" w:cs="Times New Roman" w:eastAsia="Times New Roman" w:hAnsi="Times New Roman"/>
          <w:sz w:val="12"/>
          <w:szCs w:val="12"/>
          <w:color w:val="000000"/>
        </w:rPr>
        <w:t>a breach by the Company of a material provision of this Agreement or other agreement with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 xml:space="preserve">Executive’s continued employment during the ninety (90)-day period referred to above in this </w:t>
      </w:r>
      <w:r>
        <w:rPr>
          <w:rFonts w:ascii="Times New Roman" w:cs="Times New Roman" w:eastAsia="Times New Roman" w:hAnsi="Times New Roman"/>
          <w:sz w:val="12"/>
          <w:szCs w:val="12"/>
          <w:u w:val="single" w:color="auto"/>
          <w:color w:val="auto"/>
        </w:rPr>
        <w:t>paragraph (d) </w:t>
      </w:r>
      <w:r>
        <w:rPr>
          <w:rFonts w:ascii="Times New Roman" w:cs="Times New Roman" w:eastAsia="Times New Roman" w:hAnsi="Times New Roman"/>
          <w:sz w:val="12"/>
          <w:szCs w:val="12"/>
          <w:color w:val="auto"/>
        </w:rPr>
        <w:t>will not constitute consent to, or a waiver of rights with respect to, any act or failure to act constituting Good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Reason hereunder. Notwithstanding the foregoing, the Company placing Executive on a paid leave for up to ninety (90) days, pending the determination of whether there is a basis to terminate Executive for Cause, will not constitute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Good Reason event.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(e)          </w:t>
      </w:r>
      <w:r>
        <w:rPr>
          <w:rFonts w:ascii="Times New Roman" w:cs="Times New Roman" w:eastAsia="Times New Roman" w:hAnsi="Times New Roman"/>
          <w:sz w:val="12"/>
          <w:szCs w:val="12"/>
          <w:i w:val="1"/>
          <w:iCs w:val="1"/>
          <w:color w:val="000000"/>
        </w:rPr>
        <w:t>Without Cause</w:t>
      </w:r>
      <w:r>
        <w:rPr>
          <w:rFonts w:ascii="Times New Roman" w:cs="Times New Roman" w:eastAsia="Times New Roman" w:hAnsi="Times New Roman"/>
          <w:sz w:val="12"/>
          <w:szCs w:val="12"/>
          <w:color w:val="000000"/>
        </w:rPr>
        <w:t>. The Company may terminate Executive’s employment hereunder without Cause by providing Executive with a Notice of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(f)          </w:t>
      </w:r>
      <w:r>
        <w:rPr>
          <w:rFonts w:ascii="Times New Roman" w:cs="Times New Roman" w:eastAsia="Times New Roman" w:hAnsi="Times New Roman"/>
          <w:sz w:val="12"/>
          <w:szCs w:val="12"/>
          <w:i w:val="1"/>
          <w:iCs w:val="1"/>
          <w:color w:val="000000"/>
        </w:rPr>
        <w:t>Without Good Reason</w:t>
      </w:r>
      <w:r>
        <w:rPr>
          <w:rFonts w:ascii="Times New Roman" w:cs="Times New Roman" w:eastAsia="Times New Roman" w:hAnsi="Times New Roman"/>
          <w:sz w:val="12"/>
          <w:szCs w:val="12"/>
          <w:color w:val="000000"/>
        </w:rPr>
        <w:t>. Executive may terminate his employment hereunder without Good Reason by providing the Company with a Notice of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7.          </w:t>
      </w:r>
      <w:r>
        <w:rPr>
          <w:rFonts w:ascii="Times New Roman" w:cs="Times New Roman" w:eastAsia="Times New Roman" w:hAnsi="Times New Roman"/>
          <w:sz w:val="12"/>
          <w:szCs w:val="12"/>
          <w:u w:val="single" w:color="auto"/>
          <w:color w:val="auto"/>
        </w:rPr>
        <w:t>  Termination of Employment Procedure</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Notice of Termination</w:t>
      </w:r>
      <w:r>
        <w:rPr>
          <w:rFonts w:ascii="Times New Roman" w:cs="Times New Roman" w:eastAsia="Times New Roman" w:hAnsi="Times New Roman"/>
          <w:sz w:val="12"/>
          <w:szCs w:val="12"/>
          <w:color w:val="000000"/>
        </w:rPr>
        <w:t>. Any termination of Executive’s employment by the Company or by Executive (other than termination by reason of Executive’s death) will be communicated by providing a written Notice of</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Termination to the other party hereto in accordance with </w:t>
      </w:r>
      <w:r>
        <w:rPr>
          <w:rFonts w:ascii="Times New Roman" w:cs="Times New Roman" w:eastAsia="Times New Roman" w:hAnsi="Times New Roman"/>
          <w:sz w:val="12"/>
          <w:szCs w:val="12"/>
          <w:u w:val="single" w:color="auto"/>
          <w:color w:val="000000"/>
        </w:rPr>
        <w:t>Section 18</w:t>
      </w:r>
      <w:r>
        <w:rPr>
          <w:rFonts w:ascii="Times New Roman" w:cs="Times New Roman" w:eastAsia="Times New Roman" w:hAnsi="Times New Roman"/>
          <w:sz w:val="12"/>
          <w:szCs w:val="12"/>
          <w:color w:val="000000"/>
        </w:rPr>
        <w:t>. For purposes of this Agreement, a “</w:t>
      </w:r>
      <w:r>
        <w:rPr>
          <w:rFonts w:ascii="Times New Roman" w:cs="Times New Roman" w:eastAsia="Times New Roman" w:hAnsi="Times New Roman"/>
          <w:sz w:val="12"/>
          <w:szCs w:val="12"/>
          <w:u w:val="single" w:color="auto"/>
          <w:color w:val="000000"/>
        </w:rPr>
        <w:t>Notice of Termination</w:t>
      </w:r>
      <w:r>
        <w:rPr>
          <w:rFonts w:ascii="Times New Roman" w:cs="Times New Roman" w:eastAsia="Times New Roman" w:hAnsi="Times New Roman"/>
          <w:sz w:val="12"/>
          <w:szCs w:val="12"/>
          <w:color w:val="000000"/>
        </w:rPr>
        <w:t xml:space="preserve">” means a notice which will indicate the specific termination provision in this Agreement relied upon and will set forth in reasonable detail the facts and circumstances claimed to provide a basis for termination of Executive’s employment under the provision so indicated if the termination is based on </w:t>
      </w:r>
      <w:r>
        <w:rPr>
          <w:rFonts w:ascii="Times New Roman" w:cs="Times New Roman" w:eastAsia="Times New Roman" w:hAnsi="Times New Roman"/>
          <w:sz w:val="12"/>
          <w:szCs w:val="12"/>
          <w:u w:val="single" w:color="auto"/>
          <w:color w:val="000000"/>
        </w:rPr>
        <w:t>Section 6(b)</w:t>
      </w:r>
      <w:r>
        <w:rPr>
          <w:rFonts w:ascii="Times New Roman" w:cs="Times New Roman" w:eastAsia="Times New Roman" w:hAnsi="Times New Roman"/>
          <w:sz w:val="12"/>
          <w:szCs w:val="12"/>
          <w:color w:val="000000"/>
        </w:rPr>
        <w:t xml:space="preserve">, </w:t>
      </w:r>
      <w:r>
        <w:rPr>
          <w:rFonts w:ascii="Times New Roman" w:cs="Times New Roman" w:eastAsia="Times New Roman" w:hAnsi="Times New Roman"/>
          <w:sz w:val="12"/>
          <w:szCs w:val="12"/>
          <w:u w:val="single" w:color="auto"/>
          <w:color w:val="000000"/>
        </w:rPr>
        <w:t>6(c) </w:t>
      </w:r>
      <w:r>
        <w:rPr>
          <w:rFonts w:ascii="Times New Roman" w:cs="Times New Roman" w:eastAsia="Times New Roman" w:hAnsi="Times New Roman"/>
          <w:sz w:val="12"/>
          <w:szCs w:val="12"/>
          <w:color w:val="000000"/>
        </w:rPr>
        <w:t xml:space="preserve">or </w:t>
      </w:r>
      <w:r>
        <w:rPr>
          <w:rFonts w:ascii="Times New Roman" w:cs="Times New Roman" w:eastAsia="Times New Roman" w:hAnsi="Times New Roman"/>
          <w:sz w:val="12"/>
          <w:szCs w:val="12"/>
          <w:u w:val="single" w:color="auto"/>
          <w:color w:val="000000"/>
        </w:rPr>
        <w:t>6(d)</w:t>
      </w:r>
      <w:r>
        <w:rPr>
          <w:rFonts w:ascii="Times New Roman" w:cs="Times New Roman" w:eastAsia="Times New Roman" w:hAnsi="Times New Roman"/>
          <w:sz w:val="12"/>
          <w:szCs w:val="12"/>
          <w:color w:val="000000"/>
        </w:rPr>
        <w:t>.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i w:val="1"/>
          <w:iCs w:val="1"/>
          <w:color w:val="000000"/>
        </w:rPr>
        <w:t>Date of Termination</w:t>
      </w:r>
      <w:r>
        <w:rPr>
          <w:rFonts w:ascii="Times New Roman" w:cs="Times New Roman" w:eastAsia="Times New Roman" w:hAnsi="Times New Roman"/>
          <w:sz w:val="12"/>
          <w:szCs w:val="12"/>
          <w:color w:val="000000"/>
        </w:rPr>
        <w:t>. “</w:t>
      </w:r>
      <w:r>
        <w:rPr>
          <w:rFonts w:ascii="Times New Roman" w:cs="Times New Roman" w:eastAsia="Times New Roman" w:hAnsi="Times New Roman"/>
          <w:sz w:val="12"/>
          <w:szCs w:val="12"/>
          <w:u w:val="single" w:color="auto"/>
          <w:color w:val="000000"/>
        </w:rPr>
        <w:t>Date of Termination</w:t>
      </w:r>
      <w:r>
        <w:rPr>
          <w:rFonts w:ascii="Times New Roman" w:cs="Times New Roman" w:eastAsia="Times New Roman" w:hAnsi="Times New Roman"/>
          <w:sz w:val="12"/>
          <w:szCs w:val="12"/>
          <w:color w:val="000000"/>
        </w:rPr>
        <w:t>” means (1) if Executive’s employment is terminated by reason of Executive’s death, the date of his death; (2) if Executive’s employment is terminated by reason of 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Disability, the date set forth in the Notice of Termination; and (3) if Executive’s employment is terminated for any other reason, the date on which a Notice of Termination is given or any later date (within thirty (30) days after the giving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of such notice) set forth in such Notice of Termination;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if such termination is due to a Notice of Termination by Executive, the Company will have the right to accelerate such notice and make the Date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Termination the date of the Notice of Termination or such other date prior to Executive’s intended Date of Termination as the Company deems appropriate, which acceleration will in no event be deemed a termination by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without Cause or constitute Good Reason.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010000"/>
        </w:rPr>
        <w:t>(c)          </w:t>
      </w:r>
      <w:r>
        <w:rPr>
          <w:rFonts w:ascii="Times New Roman" w:cs="Times New Roman" w:eastAsia="Times New Roman" w:hAnsi="Times New Roman"/>
          <w:sz w:val="11"/>
          <w:szCs w:val="11"/>
          <w:i w:val="1"/>
          <w:iCs w:val="1"/>
          <w:color w:val="000000"/>
        </w:rPr>
        <w:t>Resignation From Any Boards and Positions</w:t>
      </w:r>
      <w:r>
        <w:rPr>
          <w:rFonts w:ascii="Times New Roman" w:cs="Times New Roman" w:eastAsia="Times New Roman" w:hAnsi="Times New Roman"/>
          <w:sz w:val="11"/>
          <w:szCs w:val="11"/>
          <w:color w:val="000000"/>
        </w:rPr>
        <w:t>. Upon the termination of Executive’s employment with the Company for any reason, Executive will be deemed to resign from (1) the board of directors (or similar body) of the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or any subsidiary or Affiliate of the Company and/or any other board to which Executive has been appointed or nominated by or on behalf of the Company (including the Board) and (2) any position with the Company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subsidiary of the Company, including, but not limited to, as an officer and director of the Company and any of its subsidiaries and Affiliates. Executive agrees to execute such agreements as reasonably requested by the Company or 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of its subsidiaries or Affiliates, solely for the purpose of effectuating such resignations.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8.          </w:t>
      </w:r>
      <w:r>
        <w:rPr>
          <w:rFonts w:ascii="Times New Roman" w:cs="Times New Roman" w:eastAsia="Times New Roman" w:hAnsi="Times New Roman"/>
          <w:sz w:val="12"/>
          <w:szCs w:val="12"/>
          <w:u w:val="single" w:color="auto"/>
          <w:color w:val="auto"/>
        </w:rPr>
        <w:t>  Compensation Upon Termination of Employment</w:t>
      </w:r>
      <w:r>
        <w:rPr>
          <w:rFonts w:ascii="Times New Roman" w:cs="Times New Roman" w:eastAsia="Times New Roman" w:hAnsi="Times New Roman"/>
          <w:sz w:val="12"/>
          <w:szCs w:val="12"/>
          <w:color w:val="auto"/>
        </w:rPr>
        <w:t xml:space="preserve">. Subject to the provisions hereof, including, without limitation, </w:t>
      </w:r>
      <w:r>
        <w:rPr>
          <w:rFonts w:ascii="Times New Roman" w:cs="Times New Roman" w:eastAsia="Times New Roman" w:hAnsi="Times New Roman"/>
          <w:sz w:val="12"/>
          <w:szCs w:val="12"/>
          <w:u w:val="single" w:color="auto"/>
          <w:color w:val="auto"/>
        </w:rPr>
        <w:t>Section 12</w:t>
      </w:r>
      <w:r>
        <w:rPr>
          <w:rFonts w:ascii="Times New Roman" w:cs="Times New Roman" w:eastAsia="Times New Roman" w:hAnsi="Times New Roman"/>
          <w:sz w:val="12"/>
          <w:szCs w:val="12"/>
          <w:color w:val="auto"/>
        </w:rPr>
        <w:t xml:space="preserve"> (relating to the execution and delivery of a release as a condition of Executive’s (or a beneficiary’s) entitlement to certain payments and benefits hereunder), this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provides the payments and benefits to be paid or provided to Executive as a result of his termination of employment. Except as provided in this </w:t>
      </w:r>
      <w:r>
        <w:rPr>
          <w:rFonts w:ascii="Times New Roman" w:cs="Times New Roman" w:eastAsia="Times New Roman" w:hAnsi="Times New Roman"/>
          <w:sz w:val="12"/>
          <w:szCs w:val="12"/>
          <w:u w:val="single" w:color="auto"/>
          <w:color w:val="auto"/>
        </w:rPr>
        <w:t>Sections 8</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u w:val="single" w:color="auto"/>
          <w:color w:val="auto"/>
        </w:rPr>
        <w:t>9</w:t>
      </w:r>
      <w:r>
        <w:rPr>
          <w:rFonts w:ascii="Times New Roman" w:cs="Times New Roman" w:eastAsia="Times New Roman" w:hAnsi="Times New Roman"/>
          <w:sz w:val="12"/>
          <w:szCs w:val="12"/>
          <w:color w:val="auto"/>
        </w:rPr>
        <w:t>, Executive will not be entitled to any payments or benefits from the Company as a result of the termination of Executive’s employment, regardless of the reason for such termination.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Termination by the Company of the Company without Cause or Termination by Executive for Good Reason</w:t>
      </w:r>
      <w:r>
        <w:rPr>
          <w:rFonts w:ascii="Times New Roman" w:cs="Times New Roman" w:eastAsia="Times New Roman" w:hAnsi="Times New Roman"/>
          <w:sz w:val="12"/>
          <w:szCs w:val="12"/>
          <w:color w:val="000000"/>
        </w:rPr>
        <w:t>. If Executive’s employment is terminated by the Company without Cause or by Executive for Good Reason,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then Executive shall be entitled to receive the following payments and benefits: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Accrued Compensation;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(ii)            </w:t>
      </w:r>
      <w:r>
        <w:rPr>
          <w:rFonts w:ascii="Times New Roman" w:cs="Times New Roman" w:eastAsia="Times New Roman" w:hAnsi="Times New Roman"/>
          <w:sz w:val="12"/>
          <w:szCs w:val="12"/>
          <w:color w:val="000000"/>
        </w:rPr>
        <w:t>Pro Rata Bonus;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(iii)            </w:t>
      </w:r>
      <w:r>
        <w:rPr>
          <w:rFonts w:ascii="Times New Roman" w:cs="Times New Roman" w:eastAsia="Times New Roman" w:hAnsi="Times New Roman"/>
          <w:sz w:val="12"/>
          <w:szCs w:val="12"/>
          <w:color w:val="000000"/>
        </w:rPr>
        <w:t>two (2) times Salary and Bonus, payable to Executive in equal monthly installments over twenty-four (24) months;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(iv)            </w:t>
      </w:r>
      <w:r>
        <w:rPr>
          <w:rFonts w:ascii="Times New Roman" w:cs="Times New Roman" w:eastAsia="Times New Roman" w:hAnsi="Times New Roman"/>
          <w:sz w:val="12"/>
          <w:szCs w:val="12"/>
          <w:color w:val="000000"/>
        </w:rPr>
        <w:t>Benefit Continuation Coverage;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420" w:right="20" w:firstLine="864"/>
        <w:spacing w:after="0" w:line="250" w:lineRule="auto"/>
        <w:rPr>
          <w:sz w:val="20"/>
          <w:szCs w:val="20"/>
          <w:color w:val="auto"/>
        </w:rPr>
      </w:pPr>
      <w:r>
        <w:rPr>
          <w:rFonts w:ascii="Times New Roman" w:cs="Times New Roman" w:eastAsia="Times New Roman" w:hAnsi="Times New Roman"/>
          <w:sz w:val="12"/>
          <w:szCs w:val="12"/>
          <w:color w:val="010000"/>
        </w:rPr>
        <w:t>(v)            </w:t>
      </w:r>
      <w:r>
        <w:rPr>
          <w:rFonts w:ascii="Times New Roman" w:cs="Times New Roman" w:eastAsia="Times New Roman" w:hAnsi="Times New Roman"/>
          <w:sz w:val="12"/>
          <w:szCs w:val="12"/>
          <w:color w:val="000000"/>
        </w:rPr>
        <w:t>Executive’s unvested and outstanding equity-based awards for which Executive has remained continuously employed by the Company or any of its Affiliates from the grant date through the first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anniversary of the grant date shall be treated as follows: (i) each such award that is subject solely to time-based vesting conditions shall be accelerated in full and (ii) each such award that is subject to performance-based vesting conditions shall remain outstanding and continue to vest in accordance with the award’s original vesting schedule irrespective of the termination of Executive’s employment, subject to the satisfaction of any applicable performance criteria.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010000"/>
        </w:rPr>
        <w:t>(b)            </w:t>
      </w:r>
      <w:r>
        <w:rPr>
          <w:rFonts w:ascii="Times New Roman" w:cs="Times New Roman" w:eastAsia="Times New Roman" w:hAnsi="Times New Roman"/>
          <w:sz w:val="11"/>
          <w:szCs w:val="11"/>
          <w:i w:val="1"/>
          <w:iCs w:val="1"/>
          <w:color w:val="000000"/>
        </w:rPr>
        <w:t>Disability or Death</w:t>
      </w:r>
      <w:r>
        <w:rPr>
          <w:rFonts w:ascii="Times New Roman" w:cs="Times New Roman" w:eastAsia="Times New Roman" w:hAnsi="Times New Roman"/>
          <w:sz w:val="11"/>
          <w:szCs w:val="11"/>
          <w:color w:val="000000"/>
        </w:rPr>
        <w:t>. If Executive’s employment is terminated by the Company due to Executive’s Disability or if Executive’s employment terminates by reason of death, then Executive (or Executive’s beneficiary) shall</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 entitled to receive the following payments and benefits: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Accrued Compensation;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(ii)            </w:t>
      </w:r>
      <w:r>
        <w:rPr>
          <w:rFonts w:ascii="Times New Roman" w:cs="Times New Roman" w:eastAsia="Times New Roman" w:hAnsi="Times New Roman"/>
          <w:sz w:val="12"/>
          <w:szCs w:val="12"/>
          <w:color w:val="000000"/>
        </w:rPr>
        <w:t>Pro Rata Bonus;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2"/>
          <w:szCs w:val="12"/>
          <w:color w:val="010000"/>
        </w:rPr>
        <w:t>(iii)            </w:t>
      </w:r>
      <w:r>
        <w:rPr>
          <w:rFonts w:ascii="Times New Roman" w:cs="Times New Roman" w:eastAsia="Times New Roman" w:hAnsi="Times New Roman"/>
          <w:sz w:val="12"/>
          <w:szCs w:val="12"/>
          <w:color w:val="000000"/>
        </w:rPr>
        <w:t>Benefit Continuation Coverage.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i w:val="1"/>
          <w:iCs w:val="1"/>
          <w:color w:val="000000"/>
        </w:rPr>
        <w:t>Termination by the Company for Cause or Termination by Executive without Good Reason</w:t>
      </w:r>
      <w:r>
        <w:rPr>
          <w:rFonts w:ascii="Times New Roman" w:cs="Times New Roman" w:eastAsia="Times New Roman" w:hAnsi="Times New Roman"/>
          <w:sz w:val="12"/>
          <w:szCs w:val="12"/>
          <w:color w:val="000000"/>
        </w:rPr>
        <w:t>. If the Company terminates Executive’s employment for Cause or Executive terminates his employment for any reason other than</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death, Disability or for Good Reason, then, in each case, Executive shall be entitled to receive any Accrued Compensation and nothing more.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i w:val="1"/>
          <w:iCs w:val="1"/>
          <w:color w:val="000000"/>
        </w:rPr>
        <w:t>Restoration</w:t>
      </w:r>
      <w:r>
        <w:rPr>
          <w:rFonts w:ascii="Times New Roman" w:cs="Times New Roman" w:eastAsia="Times New Roman" w:hAnsi="Times New Roman"/>
          <w:sz w:val="12"/>
          <w:szCs w:val="12"/>
          <w:color w:val="000000"/>
        </w:rPr>
        <w:t>. Any severance payments and benefits paid under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8</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shall be subject to continuing compliance with the covenants described in and repayment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9.          </w:t>
      </w:r>
      <w:r>
        <w:rPr>
          <w:rFonts w:ascii="Times New Roman" w:cs="Times New Roman" w:eastAsia="Times New Roman" w:hAnsi="Times New Roman"/>
          <w:sz w:val="12"/>
          <w:szCs w:val="12"/>
          <w:u w:val="single" w:color="auto"/>
          <w:color w:val="auto"/>
        </w:rPr>
        <w:t>  Termination in Conjunction with a Change in Control</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010000"/>
        </w:rPr>
        <w:t>(a)          </w:t>
      </w:r>
      <w:r>
        <w:rPr>
          <w:rFonts w:ascii="Times New Roman" w:cs="Times New Roman" w:eastAsia="Times New Roman" w:hAnsi="Times New Roman"/>
          <w:sz w:val="11"/>
          <w:szCs w:val="11"/>
          <w:color w:val="000000"/>
        </w:rPr>
        <w:t>Subject to the provisions hereof, including, without limitation,</w:t>
      </w:r>
      <w:r>
        <w:rPr>
          <w:rFonts w:ascii="Times New Roman" w:cs="Times New Roman" w:eastAsia="Times New Roman" w:hAnsi="Times New Roman"/>
          <w:sz w:val="11"/>
          <w:szCs w:val="11"/>
          <w:color w:val="010000"/>
        </w:rPr>
        <w:t xml:space="preserve"> </w:t>
      </w:r>
      <w:r>
        <w:rPr>
          <w:rFonts w:ascii="Times New Roman" w:cs="Times New Roman" w:eastAsia="Times New Roman" w:hAnsi="Times New Roman"/>
          <w:sz w:val="11"/>
          <w:szCs w:val="11"/>
          <w:u w:val="single" w:color="auto"/>
          <w:color w:val="000000"/>
        </w:rPr>
        <w:t>Section 12</w:t>
      </w:r>
      <w:r>
        <w:rPr>
          <w:rFonts w:ascii="Times New Roman" w:cs="Times New Roman" w:eastAsia="Times New Roman" w:hAnsi="Times New Roman"/>
          <w:sz w:val="11"/>
          <w:szCs w:val="11"/>
          <w:color w:val="010000"/>
        </w:rPr>
        <w:t xml:space="preserve"> </w:t>
      </w:r>
      <w:r>
        <w:rPr>
          <w:rFonts w:ascii="Times New Roman" w:cs="Times New Roman" w:eastAsia="Times New Roman" w:hAnsi="Times New Roman"/>
          <w:sz w:val="11"/>
          <w:szCs w:val="11"/>
          <w:color w:val="000000"/>
        </w:rPr>
        <w:t>(relating to execution and delivery of a general release as a condition of Executive’s entitlement to certain payments and benefits hereunder), upon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the termination of Executive’s employment with the Company and its Affiliates in conjunction with a </w:t>
      </w:r>
      <w:r>
        <w:rPr>
          <w:rFonts w:ascii="Times New Roman" w:cs="Times New Roman" w:eastAsia="Times New Roman" w:hAnsi="Times New Roman"/>
          <w:sz w:val="12"/>
          <w:szCs w:val="12"/>
          <w:u w:val="single" w:color="auto"/>
          <w:color w:val="auto"/>
        </w:rPr>
        <w:t>Change in Control</w:t>
      </w:r>
      <w:r>
        <w:rPr>
          <w:rFonts w:ascii="Times New Roman" w:cs="Times New Roman" w:eastAsia="Times New Roman" w:hAnsi="Times New Roman"/>
          <w:sz w:val="12"/>
          <w:szCs w:val="12"/>
          <w:color w:val="auto"/>
        </w:rPr>
        <w:t>, Executive (or Executive’s beneficiary, as the case may be) will be entitled to receive the applicable severance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payments and benefits described in </w:t>
      </w:r>
      <w:r>
        <w:rPr>
          <w:rFonts w:ascii="Times New Roman" w:cs="Times New Roman" w:eastAsia="Times New Roman" w:hAnsi="Times New Roman"/>
          <w:sz w:val="12"/>
          <w:szCs w:val="12"/>
          <w:u w:val="single" w:color="auto"/>
          <w:color w:val="auto"/>
        </w:rPr>
        <w:t>Section 8</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i w:val="1"/>
          <w:iCs w:val="1"/>
          <w:color w:val="auto"/>
        </w:rPr>
        <w:t>,</w:t>
      </w:r>
      <w:r>
        <w:rPr>
          <w:rFonts w:ascii="Times New Roman" w:cs="Times New Roman" w:eastAsia="Times New Roman" w:hAnsi="Times New Roman"/>
          <w:sz w:val="12"/>
          <w:szCs w:val="12"/>
          <w:color w:val="auto"/>
        </w:rPr>
        <w:t xml:space="preserve"> that, if Executive’s employment is terminated by the Company without Cause or by Executive for Good Reason in conjunction with a Change in Control, then in lieu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 xml:space="preserve">the two (2) times Salary and Bonus payable in installments as described in </w:t>
      </w:r>
      <w:r>
        <w:rPr>
          <w:rFonts w:ascii="Times New Roman" w:cs="Times New Roman" w:eastAsia="Times New Roman" w:hAnsi="Times New Roman"/>
          <w:sz w:val="11"/>
          <w:szCs w:val="11"/>
          <w:u w:val="single" w:color="auto"/>
          <w:color w:val="auto"/>
        </w:rPr>
        <w:t>Section 8(a)(iii)</w:t>
      </w:r>
      <w:r>
        <w:rPr>
          <w:rFonts w:ascii="Times New Roman" w:cs="Times New Roman" w:eastAsia="Times New Roman" w:hAnsi="Times New Roman"/>
          <w:sz w:val="11"/>
          <w:szCs w:val="11"/>
          <w:color w:val="auto"/>
        </w:rPr>
        <w:t>, Executive shall be entitled to receive a single cash payment equal to two (2) times Salary and Bonus as soon as reasonably practicable following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effectiveness of a Release and no later than sixty (60) days following the Date of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For the purposes hereof, a termination of employment is in conjunction with a Change in Control if (and only if) such termination occurs during the period commencing upon the Change in Control and ending 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second anniversary</w:t>
      </w:r>
      <w:r>
        <w:rPr>
          <w:rFonts w:ascii="Times New Roman" w:cs="Times New Roman" w:eastAsia="Times New Roman" w:hAnsi="Times New Roman"/>
          <w:sz w:val="12"/>
          <w:szCs w:val="12"/>
          <w:color w:val="auto"/>
        </w:rPr>
        <w:t xml:space="preserve"> of the date of the Change in Control.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If Executive is entitled to receive payments and benefits under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8</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(due to a termination of employment not in conjunction with a Change in Control) and if, by reason of a subsequent Change in Control, Executive’s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termination of employment is deemed to be in conjunction with the Change in Control, then, in order to avoid duplication, the payments and benefits to which Executive is entitled under this </w:t>
      </w:r>
      <w:r>
        <w:rPr>
          <w:rFonts w:ascii="Times New Roman" w:cs="Times New Roman" w:eastAsia="Times New Roman" w:hAnsi="Times New Roman"/>
          <w:sz w:val="12"/>
          <w:szCs w:val="12"/>
          <w:u w:val="single" w:color="auto"/>
          <w:color w:val="000000"/>
        </w:rPr>
        <w:t>Section 9</w:t>
      </w:r>
      <w:r>
        <w:rPr>
          <w:rFonts w:ascii="Times New Roman" w:cs="Times New Roman" w:eastAsia="Times New Roman" w:hAnsi="Times New Roman"/>
          <w:sz w:val="12"/>
          <w:szCs w:val="12"/>
          <w:color w:val="000000"/>
        </w:rPr>
        <w:t xml:space="preserve"> upon and following the Change in Control will be reduced by the payments and benefits which Executive received under </w:t>
      </w:r>
      <w:r>
        <w:rPr>
          <w:rFonts w:ascii="Times New Roman" w:cs="Times New Roman" w:eastAsia="Times New Roman" w:hAnsi="Times New Roman"/>
          <w:sz w:val="12"/>
          <w:szCs w:val="12"/>
          <w:u w:val="single" w:color="auto"/>
          <w:color w:val="000000"/>
        </w:rPr>
        <w:t>Section 8</w:t>
      </w:r>
      <w:r>
        <w:rPr>
          <w:rFonts w:ascii="Times New Roman" w:cs="Times New Roman" w:eastAsia="Times New Roman" w:hAnsi="Times New Roman"/>
          <w:sz w:val="12"/>
          <w:szCs w:val="12"/>
          <w:color w:val="000000"/>
        </w:rPr>
        <w:t xml:space="preserve">, and no further payments will be made under </w:t>
      </w:r>
      <w:r>
        <w:rPr>
          <w:rFonts w:ascii="Times New Roman" w:cs="Times New Roman" w:eastAsia="Times New Roman" w:hAnsi="Times New Roman"/>
          <w:sz w:val="12"/>
          <w:szCs w:val="12"/>
          <w:u w:val="single" w:color="auto"/>
          <w:color w:val="000000"/>
        </w:rPr>
        <w:t>Section 8</w:t>
      </w:r>
      <w:r>
        <w:rPr>
          <w:rFonts w:ascii="Times New Roman" w:cs="Times New Roman" w:eastAsia="Times New Roman" w:hAnsi="Times New Roman"/>
          <w:sz w:val="12"/>
          <w:szCs w:val="12"/>
          <w:color w:val="000000"/>
        </w:rPr>
        <w:t>.  </w:t>
      </w:r>
    </w:p>
    <w:p>
      <w:pPr>
        <w:spacing w:after="0" w:line="13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color w:val="000000"/>
        </w:rPr>
        <w:t>Any severance payments and benefits paid under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9</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shall be subject to continuing compliance with the covenants described in and repayment pursuant to</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10.        </w:t>
      </w:r>
      <w:r>
        <w:rPr>
          <w:rFonts w:ascii="Times New Roman" w:cs="Times New Roman" w:eastAsia="Times New Roman" w:hAnsi="Times New Roman"/>
          <w:sz w:val="12"/>
          <w:szCs w:val="12"/>
          <w:u w:val="single" w:color="auto"/>
          <w:color w:val="auto"/>
        </w:rPr>
        <w:t>  Cooperation Following Termination of Employment</w:t>
      </w:r>
      <w:r>
        <w:rPr>
          <w:rFonts w:ascii="Times New Roman" w:cs="Times New Roman" w:eastAsia="Times New Roman" w:hAnsi="Times New Roman"/>
          <w:sz w:val="12"/>
          <w:szCs w:val="12"/>
          <w:color w:val="auto"/>
        </w:rPr>
        <w:t>. Following any termination of Executive’s employment, Executive agrees to cooperate with and provide any requested information to the Company or its legal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representatives as the Company deems reasonably appropriate under the circumstances. The Company agrees to reimburse Executive for all reasonable expenses, attorneys’ fees and costs incurred by him as a result of his cooperation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following any termination of his employment pursuant to this </w:t>
      </w:r>
      <w:r>
        <w:rPr>
          <w:rFonts w:ascii="Times New Roman" w:cs="Times New Roman" w:eastAsia="Times New Roman" w:hAnsi="Times New Roman"/>
          <w:sz w:val="12"/>
          <w:szCs w:val="12"/>
          <w:u w:val="single" w:color="auto"/>
          <w:color w:val="auto"/>
        </w:rPr>
        <w:t>Section 10</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11.        </w:t>
      </w:r>
      <w:r>
        <w:rPr>
          <w:rFonts w:ascii="Times New Roman" w:cs="Times New Roman" w:eastAsia="Times New Roman" w:hAnsi="Times New Roman"/>
          <w:sz w:val="11"/>
          <w:szCs w:val="11"/>
          <w:u w:val="single" w:color="auto"/>
          <w:color w:val="auto"/>
        </w:rPr>
        <w:t>  At-Will Employment</w:t>
      </w:r>
      <w:r>
        <w:rPr>
          <w:rFonts w:ascii="Times New Roman" w:cs="Times New Roman" w:eastAsia="Times New Roman" w:hAnsi="Times New Roman"/>
          <w:sz w:val="11"/>
          <w:szCs w:val="11"/>
          <w:color w:val="auto"/>
        </w:rPr>
        <w:t>. This Agreement does not constitute a guarantee of employment for any definite period. Executive’s employment is at will and may be terminated by Executive or the Company at any time, with or</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without reason.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12.        </w:t>
      </w:r>
      <w:r>
        <w:rPr>
          <w:rFonts w:ascii="Times New Roman" w:cs="Times New Roman" w:eastAsia="Times New Roman" w:hAnsi="Times New Roman"/>
          <w:sz w:val="11"/>
          <w:szCs w:val="11"/>
          <w:u w:val="single" w:color="auto"/>
          <w:color w:val="auto"/>
        </w:rPr>
        <w:t>  Release of Claims</w:t>
      </w:r>
      <w:r>
        <w:rPr>
          <w:rFonts w:ascii="Times New Roman" w:cs="Times New Roman" w:eastAsia="Times New Roman" w:hAnsi="Times New Roman"/>
          <w:sz w:val="11"/>
          <w:szCs w:val="11"/>
          <w:color w:val="auto"/>
        </w:rPr>
        <w:t>. Notwithstanding anything herein to the contrary, as a condition to the severance payments or benefits otherwise payable under this Agreement, Executive (or Executive’s beneficiary) must execute and</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not revoke a general release agreement in favor of the Company, its Affiliates and their officers, directors and employees, in such form as the Board or the Compensation Committee may specify;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no such release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will be required as a condition of Executive’s (or the beneficiary’s) entitlement to Accrued Compensation. Subject to </w:t>
      </w:r>
      <w:r>
        <w:rPr>
          <w:rFonts w:ascii="Times New Roman" w:cs="Times New Roman" w:eastAsia="Times New Roman" w:hAnsi="Times New Roman"/>
          <w:sz w:val="12"/>
          <w:szCs w:val="12"/>
          <w:u w:val="single" w:color="auto"/>
          <w:color w:val="auto"/>
        </w:rPr>
        <w:t>Section 23</w:t>
      </w:r>
      <w:r>
        <w:rPr>
          <w:rFonts w:ascii="Times New Roman" w:cs="Times New Roman" w:eastAsia="Times New Roman" w:hAnsi="Times New Roman"/>
          <w:sz w:val="12"/>
          <w:szCs w:val="12"/>
          <w:color w:val="auto"/>
        </w:rPr>
        <w:t xml:space="preserve"> of this Agreement, any payment or benefit that is so conditioned shall commence or be paid during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period commencing on the Date of Termination and ending on a date not more than sixty (60) days thereafter, except that, in the event that such period could span two (2) taxable years, payment must be made or commence in the later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13.        </w:t>
      </w:r>
      <w:r>
        <w:rPr>
          <w:rFonts w:ascii="Times New Roman" w:cs="Times New Roman" w:eastAsia="Times New Roman" w:hAnsi="Times New Roman"/>
          <w:sz w:val="12"/>
          <w:szCs w:val="12"/>
          <w:u w:val="single" w:color="auto"/>
          <w:color w:val="auto"/>
        </w:rPr>
        <w:t>  Restrictive Covenants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1" w:lineRule="auto"/>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Confidential Information</w:t>
      </w:r>
      <w:r>
        <w:rPr>
          <w:rFonts w:ascii="Times New Roman" w:cs="Times New Roman" w:eastAsia="Times New Roman" w:hAnsi="Times New Roman"/>
          <w:sz w:val="12"/>
          <w:szCs w:val="12"/>
          <w:color w:val="000000"/>
        </w:rPr>
        <w:t>. “</w:t>
      </w:r>
      <w:r>
        <w:rPr>
          <w:rFonts w:ascii="Times New Roman" w:cs="Times New Roman" w:eastAsia="Times New Roman" w:hAnsi="Times New Roman"/>
          <w:sz w:val="12"/>
          <w:szCs w:val="12"/>
          <w:u w:val="single" w:color="auto"/>
          <w:color w:val="000000"/>
        </w:rPr>
        <w:t>Confidential Information</w:t>
      </w:r>
      <w:r>
        <w:rPr>
          <w:rFonts w:ascii="Times New Roman" w:cs="Times New Roman" w:eastAsia="Times New Roman" w:hAnsi="Times New Roman"/>
          <w:sz w:val="12"/>
          <w:szCs w:val="12"/>
          <w:color w:val="000000"/>
        </w:rPr>
        <w:t>” means any and all information and physical manifestations thereof not generally known or available outside the Company, and information and physical</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manifestations thereof entrusted to the Company in confidence by third parties, whether or not such information is patentable, copyrightable or otherwise legally protectable, and without regard to whether such information and physical manifestations thereof are marked or otherwise designated as “confidential”, “proprietary,” or something similar, in each case, to the extent disclosed to Executive by or on behalf of the Company during the course of Executive’s employment relationship with the Company. Confidential Information includes, without limitation, any such information or physical manifestations of: (1) Company Intellectual Property (as defined below); (2) Intellectual Property (as defined below) owned or licensed by the Company prior to or outside of this Agreement; (3) non-public agreements with, or non-public information relating to, suppliers and customers of the Company; and (4) any other non-public price lists, pricing methodologies, cost data, market share data, marketing plans, licenses, contract information, business plans, financial forecasts, historical financial data, budgets or other business information related to the Company and disclosed to Executive by the Company either directly or indirectly in the course of Executive’s employment relationship with the Company, whether in writing, electronically or orally. Notwithstanding the foregoing, Confidential Information does </w:t>
      </w:r>
      <w:r>
        <w:rPr>
          <w:rFonts w:ascii="Times New Roman" w:cs="Times New Roman" w:eastAsia="Times New Roman" w:hAnsi="Times New Roman"/>
          <w:sz w:val="12"/>
          <w:szCs w:val="12"/>
          <w:u w:val="single" w:color="auto"/>
          <w:color w:val="000000"/>
        </w:rPr>
        <w:t>not</w:t>
      </w:r>
      <w:r>
        <w:rPr>
          <w:rFonts w:ascii="Times New Roman" w:cs="Times New Roman" w:eastAsia="Times New Roman" w:hAnsi="Times New Roman"/>
          <w:sz w:val="12"/>
          <w:szCs w:val="12"/>
          <w:color w:val="000000"/>
        </w:rPr>
        <w:t xml:space="preserve"> include (x) information that was lawfully known by Executive, without any obligation of confidentiality, at the time such information was received from or otherwise disclosed to Executive by the Company, (y) information that is or becomes generally available to or known by the public through no wrongful act of Executive, or (z) information disclosed to Executive by a third party not known by Executive to be bound to a duty of confidentiality to the Company. During the Employment Period and thereafter, Executive will hold in a fiduciary capacity for the benefit of the Company all Confidential Information. Executive will not, without the prior written consent of the Company, communicate or divulge any such Confidential Information to anyone other than the Company and those designated by the Company or on behalf of the Company in the furtherance of its business or to perform duties under this Agreement. Notwithstanding the foregoing, nothing in this </w:t>
      </w:r>
      <w:r>
        <w:rPr>
          <w:rFonts w:ascii="Times New Roman" w:cs="Times New Roman" w:eastAsia="Times New Roman" w:hAnsi="Times New Roman"/>
          <w:sz w:val="12"/>
          <w:szCs w:val="12"/>
          <w:u w:val="single" w:color="auto"/>
          <w:color w:val="000000"/>
        </w:rPr>
        <w:t>Section 13(a) </w:t>
      </w:r>
      <w:r>
        <w:rPr>
          <w:rFonts w:ascii="Times New Roman" w:cs="Times New Roman" w:eastAsia="Times New Roman" w:hAnsi="Times New Roman"/>
          <w:sz w:val="12"/>
          <w:szCs w:val="12"/>
          <w:color w:val="000000"/>
        </w:rPr>
        <w:t xml:space="preserve">is intended to, and shall not, restrict or limit Executive from exercising Executive’s protected rights under </w:t>
      </w:r>
      <w:r>
        <w:rPr>
          <w:rFonts w:ascii="Times New Roman" w:cs="Times New Roman" w:eastAsia="Times New Roman" w:hAnsi="Times New Roman"/>
          <w:sz w:val="12"/>
          <w:szCs w:val="12"/>
          <w:u w:val="single" w:color="auto"/>
          <w:color w:val="000000"/>
        </w:rPr>
        <w:t>Section 13(b)</w:t>
      </w:r>
      <w:r>
        <w:rPr>
          <w:rFonts w:ascii="Times New Roman" w:cs="Times New Roman" w:eastAsia="Times New Roman" w:hAnsi="Times New Roman"/>
          <w:sz w:val="12"/>
          <w:szCs w:val="12"/>
          <w:color w:val="000000"/>
        </w:rPr>
        <w:t>.  </w:t>
      </w:r>
    </w:p>
    <w:p>
      <w:pPr>
        <w:spacing w:after="0" w:line="14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i w:val="1"/>
          <w:iCs w:val="1"/>
          <w:color w:val="000000"/>
        </w:rPr>
        <w:t>Protected Activity</w:t>
      </w:r>
      <w:r>
        <w:rPr>
          <w:rFonts w:ascii="Times New Roman" w:cs="Times New Roman" w:eastAsia="Times New Roman" w:hAnsi="Times New Roman"/>
          <w:sz w:val="12"/>
          <w:szCs w:val="12"/>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Notwithstanding</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13(a) </w:t>
      </w:r>
      <w:r>
        <w:rPr>
          <w:rFonts w:ascii="Times New Roman" w:cs="Times New Roman" w:eastAsia="Times New Roman" w:hAnsi="Times New Roman"/>
          <w:sz w:val="12"/>
          <w:szCs w:val="12"/>
          <w:color w:val="000000"/>
        </w:rPr>
        <w:t>or anything else herein to the contrary, this Agreement shall not: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left="420" w:firstLine="432"/>
        <w:spacing w:after="0" w:line="250" w:lineRule="auto"/>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preclude Executive from disclosing or discussing information lawfully acquired about wages, hours or other terms and conditions of employment if used for purposes protected by Section 7 of the National Labor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Relations Act such as joining or forming a union, engaging in collective bargaining or engaging in other concerted activity for the mutual aid or protection of employees;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left="420" w:firstLine="432"/>
        <w:spacing w:after="0" w:line="250"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limit Executive’s rights under applicable law to initiate communications directly with, provide information to, respond to any inquiries from, or report possible violations of law or regulation to any governmental</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entity or self-regulatory authority, or to file a charge with or participate in an investigation conducted by any governmental entity or self-regulatory authority, and Executive does not need the Company’s or any of its Affiliates’ permission to do so. In addition, it is understood that this Agreement shall not require Executive to notify the Company or any of its Affiliates of a request for information from any governmental entity or self-regulatory authority that is not directed to the Company or any of its Affiliates or of Executive’s decision to file a charge or complaint with or participate in an investigation conducted by any governmental entity or self-regulatory authority. Notwithstanding the foregoing, Executive recognizes that, in connection with the provision of information to any governmental entity or self-regulatory authority, Executive must inform such governmental entity or self-regulatory authority that the information Executive is providing is confidential. Despite the foregoing, Executive is not permitted to reveal to any third party, including any governmental entity or self-regulatory authority, information Executive comes to learn during Executive’s service to the Company and that Executive knows or reasonably should know is protected from disclosure by any applicable privilege, including but not limited to the attorney-client privilege or attorney work product doctrine. Each of the Company and its Affiliates does not waive any applicable privileges or the right to continue to protect its privileged attorney-client information, attorney work product, and other privileged information.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010000"/>
        </w:rPr>
        <w:t>(ii)            </w:t>
      </w:r>
      <w:r>
        <w:rPr>
          <w:rFonts w:ascii="Times New Roman" w:cs="Times New Roman" w:eastAsia="Times New Roman" w:hAnsi="Times New Roman"/>
          <w:sz w:val="11"/>
          <w:szCs w:val="11"/>
          <w:color w:val="000000"/>
        </w:rPr>
        <w:t>Executive is hereby notified that the U.S. Defend Trade Secrets Act of 2016, 18 U.S.C. 1833 (the “</w:t>
      </w:r>
      <w:r>
        <w:rPr>
          <w:rFonts w:ascii="Times New Roman" w:cs="Times New Roman" w:eastAsia="Times New Roman" w:hAnsi="Times New Roman"/>
          <w:sz w:val="11"/>
          <w:szCs w:val="11"/>
          <w:u w:val="single" w:color="auto"/>
          <w:color w:val="000000"/>
        </w:rPr>
        <w:t>DTSA</w:t>
      </w:r>
      <w:r>
        <w:rPr>
          <w:rFonts w:ascii="Times New Roman" w:cs="Times New Roman" w:eastAsia="Times New Roman" w:hAnsi="Times New Roman"/>
          <w:sz w:val="11"/>
          <w:szCs w:val="11"/>
          <w:color w:val="000000"/>
        </w:rPr>
        <w:t>”) provides that an individual cannot be held criminally or civilly liable under any federal or state trade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secret law for any disclosure of a trade secret that is made: (1) in confidence to federal, state or local government officials, either directly or indirectly, or to an attorney, and is solely for the purpose of reporting or investigating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suspected violation of the law; (2) in a complaint or other document filed in a lawsuit or other proceeding, if such filing is made under seal; or (3) to the individual’s attorney in connection with a lawsuit for retaliation for reporting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suspected violation of law (and the trade secret may be used in the court proceedings for such lawsuit) as long as (x) any document containing the trade secret is filed under seal and (y) the trade secret is not disclosed except pursuant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court order.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i w:val="1"/>
          <w:iCs w:val="1"/>
          <w:color w:val="000000"/>
        </w:rPr>
        <w:t>Removal of Documents</w:t>
      </w:r>
      <w:r>
        <w:rPr>
          <w:rFonts w:ascii="Times New Roman" w:cs="Times New Roman" w:eastAsia="Times New Roman" w:hAnsi="Times New Roman"/>
          <w:sz w:val="12"/>
          <w:szCs w:val="12"/>
          <w:color w:val="000000"/>
        </w:rPr>
        <w:t>. Executive may not remove any records, files, drawings, documents, models, equipment, and the like relating to the Company’s or any of its Affiliates’ business from the Company’s or any of its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Affiliates’ premises without the Company’s or such Affiliate’s written consent, unless such removal is in the furtherance of the Company’s or any of its Affiliates’ business or is in connection with Executive’s carrying out Executive’s duties under this Agreement and, if so removed, they will be returned to the Company or such Affiliate, as applicable, promptly after termination of Executive’s employment hereunder, or otherwise promptly after removal if such removal occurs following termination of employment. Notwithstanding the foregoing, nothing in this </w:t>
      </w:r>
      <w:r>
        <w:rPr>
          <w:rFonts w:ascii="Times New Roman" w:cs="Times New Roman" w:eastAsia="Times New Roman" w:hAnsi="Times New Roman"/>
          <w:sz w:val="12"/>
          <w:szCs w:val="12"/>
          <w:u w:val="single" w:color="auto"/>
          <w:color w:val="000000"/>
        </w:rPr>
        <w:t>Section 13(c) </w:t>
      </w:r>
      <w:r>
        <w:rPr>
          <w:rFonts w:ascii="Times New Roman" w:cs="Times New Roman" w:eastAsia="Times New Roman" w:hAnsi="Times New Roman"/>
          <w:sz w:val="12"/>
          <w:szCs w:val="12"/>
          <w:color w:val="000000"/>
        </w:rPr>
        <w:t xml:space="preserve">is intended to, and shall not, restrict or limit Executive from exercising Executive’s protected rights under </w:t>
      </w:r>
      <w:r>
        <w:rPr>
          <w:rFonts w:ascii="Times New Roman" w:cs="Times New Roman" w:eastAsia="Times New Roman" w:hAnsi="Times New Roman"/>
          <w:sz w:val="12"/>
          <w:szCs w:val="12"/>
          <w:u w:val="single" w:color="auto"/>
          <w:color w:val="000000"/>
        </w:rPr>
        <w:t>Section 13(b) </w:t>
      </w:r>
      <w:r>
        <w:rPr>
          <w:rFonts w:ascii="Times New Roman" w:cs="Times New Roman" w:eastAsia="Times New Roman" w:hAnsi="Times New Roman"/>
          <w:sz w:val="12"/>
          <w:szCs w:val="12"/>
          <w:color w:val="000000"/>
        </w:rPr>
        <w:t xml:space="preserve">hereof, or restrict or limit Executive from providing information in response to a subpoena or other legal process, to a governmental entity or self-regulatory authority, or in the event of litigation between Executive and the Company or any of its Affiliates, or prohibit Executive from making statements or engaging in any other activities or conduct protected by the National Labor Relations Act. In the event of any conflict between the provision of this </w:t>
      </w:r>
      <w:r>
        <w:rPr>
          <w:rFonts w:ascii="Times New Roman" w:cs="Times New Roman" w:eastAsia="Times New Roman" w:hAnsi="Times New Roman"/>
          <w:sz w:val="12"/>
          <w:szCs w:val="12"/>
          <w:u w:val="single" w:color="auto"/>
          <w:color w:val="000000"/>
        </w:rPr>
        <w:t>Section 13(c) </w:t>
      </w:r>
      <w:r>
        <w:rPr>
          <w:rFonts w:ascii="Times New Roman" w:cs="Times New Roman" w:eastAsia="Times New Roman" w:hAnsi="Times New Roman"/>
          <w:sz w:val="12"/>
          <w:szCs w:val="12"/>
          <w:color w:val="000000"/>
        </w:rPr>
        <w:t xml:space="preserve">and of any applicable employee manual or similar policy of the Company, the provisions of this </w:t>
      </w:r>
      <w:r>
        <w:rPr>
          <w:rFonts w:ascii="Times New Roman" w:cs="Times New Roman" w:eastAsia="Times New Roman" w:hAnsi="Times New Roman"/>
          <w:sz w:val="12"/>
          <w:szCs w:val="12"/>
          <w:u w:val="single" w:color="auto"/>
          <w:color w:val="000000"/>
        </w:rPr>
        <w:t>Section 13(c) </w:t>
      </w:r>
      <w:r>
        <w:rPr>
          <w:rFonts w:ascii="Times New Roman" w:cs="Times New Roman" w:eastAsia="Times New Roman" w:hAnsi="Times New Roman"/>
          <w:sz w:val="12"/>
          <w:szCs w:val="12"/>
          <w:color w:val="000000"/>
        </w:rPr>
        <w:t>will govern.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i w:val="1"/>
          <w:iCs w:val="1"/>
          <w:color w:val="000000"/>
        </w:rPr>
        <w:t>Non-Competition</w:t>
      </w:r>
      <w:r>
        <w:rPr>
          <w:rFonts w:ascii="Times New Roman" w:cs="Times New Roman" w:eastAsia="Times New Roman" w:hAnsi="Times New Roman"/>
          <w:sz w:val="12"/>
          <w:szCs w:val="12"/>
          <w:color w:val="000000"/>
        </w:rPr>
        <w:t>. Executive hereby confirms and acknowledges that Executive satisfies the definition of “senior executive” for purposes of the Federal Trade Commission’s Non-Compete Clause Rule. Accordingly,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Employment Period and for a two (2)-year period after the date Executive’s employment is terminated by the Company for any reason, Executive will not directly or indirectly (without the prior written consent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color w:val="000000"/>
        </w:rPr>
        <w:t>hold a five percent (5%) or greater equity (including stock options whether or not exercisable), voting or profit participation interest in a Competitive Enterprise;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1"/>
          <w:szCs w:val="11"/>
          <w:color w:val="010000"/>
        </w:rPr>
        <w:t>(ii)            </w:t>
      </w:r>
      <w:r>
        <w:rPr>
          <w:rFonts w:ascii="Times New Roman" w:cs="Times New Roman" w:eastAsia="Times New Roman" w:hAnsi="Times New Roman"/>
          <w:sz w:val="11"/>
          <w:szCs w:val="11"/>
          <w:color w:val="000000"/>
        </w:rPr>
        <w:t>associate (including as a director, officer, employee, partner, consultant, agent or advisor) with a Competitive Enterprise</w:t>
      </w:r>
      <w:r>
        <w:rPr>
          <w:rFonts w:ascii="Times New Roman" w:cs="Times New Roman" w:eastAsia="Times New Roman" w:hAnsi="Times New Roman"/>
          <w:sz w:val="11"/>
          <w:szCs w:val="11"/>
          <w:color w:val="010000"/>
        </w:rPr>
        <w:t xml:space="preserve"> </w:t>
      </w:r>
      <w:r>
        <w:rPr>
          <w:rFonts w:ascii="Times New Roman" w:cs="Times New Roman" w:eastAsia="Times New Roman" w:hAnsi="Times New Roman"/>
          <w:sz w:val="11"/>
          <w:szCs w:val="11"/>
          <w:u w:val="single" w:color="auto"/>
          <w:color w:val="000000"/>
        </w:rPr>
        <w:t>and</w:t>
      </w:r>
      <w:r>
        <w:rPr>
          <w:rFonts w:ascii="Times New Roman" w:cs="Times New Roman" w:eastAsia="Times New Roman" w:hAnsi="Times New Roman"/>
          <w:sz w:val="11"/>
          <w:szCs w:val="11"/>
          <w:color w:val="010000"/>
        </w:rPr>
        <w:t xml:space="preserve"> </w:t>
      </w:r>
      <w:r>
        <w:rPr>
          <w:rFonts w:ascii="Times New Roman" w:cs="Times New Roman" w:eastAsia="Times New Roman" w:hAnsi="Times New Roman"/>
          <w:sz w:val="11"/>
          <w:szCs w:val="11"/>
          <w:color w:val="000000"/>
        </w:rPr>
        <w:t>in connection with Executive’s association engage, or directly or indirectly manage</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supervise personnel engaged, in any activity: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that is substantially related to any activity in which Executive was engaged with the Company or any of its Affiliates during the twelve (12) months prior to the Date of Termination;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firstLine="432"/>
        <w:spacing w:after="0" w:line="250"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that is substantially related to any activity for which Executive had direct or indirect managerial or supervisory responsibility with the Company or any of its Affiliates during the twelve (12) months prior to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Date of Termination;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right="20" w:firstLine="432"/>
        <w:spacing w:after="0" w:line="250" w:lineRule="auto"/>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that calls for the application of specialized knowledge or skills substantially related to those used by Executive in Executive’s activities with the Company or any of its Affiliates during the twelve (12) months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prior to the Date of Termination.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this Agreement, “</w:t>
      </w:r>
      <w:r>
        <w:rPr>
          <w:rFonts w:ascii="Times New Roman" w:cs="Times New Roman" w:eastAsia="Times New Roman" w:hAnsi="Times New Roman"/>
          <w:sz w:val="12"/>
          <w:szCs w:val="12"/>
          <w:u w:val="single" w:color="auto"/>
          <w:color w:val="auto"/>
        </w:rPr>
        <w:t>Competitive Enterprise</w:t>
      </w:r>
      <w:r>
        <w:rPr>
          <w:rFonts w:ascii="Times New Roman" w:cs="Times New Roman" w:eastAsia="Times New Roman" w:hAnsi="Times New Roman"/>
          <w:sz w:val="12"/>
          <w:szCs w:val="12"/>
          <w:color w:val="auto"/>
        </w:rPr>
        <w:t>” means a person or entity that is in the business of providing a Conflicting Product or Service. A “</w:t>
      </w:r>
      <w:r>
        <w:rPr>
          <w:rFonts w:ascii="Times New Roman" w:cs="Times New Roman" w:eastAsia="Times New Roman" w:hAnsi="Times New Roman"/>
          <w:sz w:val="12"/>
          <w:szCs w:val="12"/>
          <w:u w:val="single" w:color="auto"/>
          <w:color w:val="auto"/>
        </w:rPr>
        <w:t>Conflicting Product or Service</w:t>
      </w:r>
      <w:r>
        <w:rPr>
          <w:rFonts w:ascii="Times New Roman" w:cs="Times New Roman" w:eastAsia="Times New Roman" w:hAnsi="Times New Roman"/>
          <w:sz w:val="12"/>
          <w:szCs w:val="12"/>
          <w:color w:val="auto"/>
        </w:rPr>
        <w:t>” is a product or service that would displace a</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product or service that Executive assists the Company or any of its Affiliates in developing, selling, distributing, servicing, or otherwise providing to the Company’s or any of its Affiliates’ customers or receives Confidential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Information about within the preceding two (2) years. By way of example, and not limitation, a “</w:t>
      </w:r>
      <w:r>
        <w:rPr>
          <w:rFonts w:ascii="Times New Roman" w:cs="Times New Roman" w:eastAsia="Times New Roman" w:hAnsi="Times New Roman"/>
          <w:sz w:val="11"/>
          <w:szCs w:val="11"/>
          <w:u w:val="single" w:color="auto"/>
          <w:color w:val="auto"/>
        </w:rPr>
        <w:t>Competing Business</w:t>
      </w:r>
      <w:r>
        <w:rPr>
          <w:rFonts w:ascii="Times New Roman" w:cs="Times New Roman" w:eastAsia="Times New Roman" w:hAnsi="Times New Roman"/>
          <w:sz w:val="11"/>
          <w:szCs w:val="11"/>
          <w:color w:val="auto"/>
        </w:rPr>
        <w:t>” is understood to include any person or entity engaged in the rent-to-own or lease-to-own business or related services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or any other business activities that the Company may be engaged in from time to time. “</w:t>
      </w:r>
      <w:r>
        <w:rPr>
          <w:rFonts w:ascii="Times New Roman" w:cs="Times New Roman" w:eastAsia="Times New Roman" w:hAnsi="Times New Roman"/>
          <w:sz w:val="12"/>
          <w:szCs w:val="12"/>
          <w:u w:val="single" w:color="auto"/>
          <w:color w:val="auto"/>
        </w:rPr>
        <w:t>Restricted Area</w:t>
      </w:r>
      <w:r>
        <w:rPr>
          <w:rFonts w:ascii="Times New Roman" w:cs="Times New Roman" w:eastAsia="Times New Roman" w:hAnsi="Times New Roman"/>
          <w:sz w:val="12"/>
          <w:szCs w:val="12"/>
          <w:color w:val="auto"/>
        </w:rPr>
        <w:t>” refers to the United States, Puerto Rico, Canada, Mexico, and each additional country where the Company or any of its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Affiliates do business or are actively planning to do business at the time Executive’s employment ends and about which Executive was provided Confidential Information during employment. The nature of Executive’s position is such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that he will be provided Confidential Information about the Company’s and its Affiliates’ business activities and plans in each country where the Company or any of its Affiliates do business or are planning to do business. Accordingly,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Executive agrees that the Restricted Area definition is reasonable and necessary.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2"/>
          <w:szCs w:val="12"/>
          <w:color w:val="010000"/>
        </w:rPr>
        <w:t>(e)          </w:t>
      </w:r>
      <w:r>
        <w:rPr>
          <w:rFonts w:ascii="Times New Roman" w:cs="Times New Roman" w:eastAsia="Times New Roman" w:hAnsi="Times New Roman"/>
          <w:sz w:val="12"/>
          <w:szCs w:val="12"/>
          <w:i w:val="1"/>
          <w:iCs w:val="1"/>
          <w:color w:val="000000"/>
        </w:rPr>
        <w:t>Non-Solicitation</w:t>
      </w:r>
      <w:r>
        <w:rPr>
          <w:rFonts w:ascii="Times New Roman" w:cs="Times New Roman" w:eastAsia="Times New Roman" w:hAnsi="Times New Roman"/>
          <w:sz w:val="12"/>
          <w:szCs w:val="12"/>
          <w:color w:val="000000"/>
        </w:rPr>
        <w:t>. During the Employment Period and for a two (2)-year period after Executive’s employment is terminated by the Company or by Executive for any reason, Executive will not, in any manner, directly or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indirectly (without the prior written consent of the Company): (1) Solicit any Client to transact business with a Competitive Enterprise or to reduce or refrain from doing any business with the Company or any of its Affiliates,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(2) transact business with any Client that would cause Executive to be a Competitive Enterprise, (3) interfere with or damage any relationship between the Company or any of its Affiliates and a Client or (4) Solicit anyone who is then an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employee of the Company or any of its Affiliates (or who was an employee of the Company or any of its Affiliates within the prior twelve (12) months) and whom had a title of Senior Vice President or above, to resign from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or any of its Affiliates or to apply for or accept employment with any other business or enterprise.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For purposes of this Agreement, a “</w:t>
      </w:r>
      <w:r>
        <w:rPr>
          <w:rFonts w:ascii="Times New Roman" w:cs="Times New Roman" w:eastAsia="Times New Roman" w:hAnsi="Times New Roman"/>
          <w:sz w:val="12"/>
          <w:szCs w:val="12"/>
          <w:u w:val="single" w:color="auto"/>
          <w:color w:val="auto"/>
        </w:rPr>
        <w:t>Client</w:t>
      </w:r>
      <w:r>
        <w:rPr>
          <w:rFonts w:ascii="Times New Roman" w:cs="Times New Roman" w:eastAsia="Times New Roman" w:hAnsi="Times New Roman"/>
          <w:sz w:val="12"/>
          <w:szCs w:val="12"/>
          <w:color w:val="auto"/>
        </w:rPr>
        <w:t>” means any client or prospective client of the Company or any of its Affiliates to whom Executive provided services, or for whom Executive transacted business, or whose identity became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known to Executive in connection with Executive’s relationship with or employment by the Company, and “</w:t>
      </w:r>
      <w:r>
        <w:rPr>
          <w:rFonts w:ascii="Times New Roman" w:cs="Times New Roman" w:eastAsia="Times New Roman" w:hAnsi="Times New Roman"/>
          <w:sz w:val="11"/>
          <w:szCs w:val="11"/>
          <w:u w:val="single" w:color="auto"/>
          <w:color w:val="auto"/>
        </w:rPr>
        <w:t>Solicit</w:t>
      </w:r>
      <w:r>
        <w:rPr>
          <w:rFonts w:ascii="Times New Roman" w:cs="Times New Roman" w:eastAsia="Times New Roman" w:hAnsi="Times New Roman"/>
          <w:sz w:val="11"/>
          <w:szCs w:val="11"/>
          <w:color w:val="auto"/>
        </w:rPr>
        <w:t>” means any direct or indirect communication of any kind, regardless of who initiates it, that in any way invites, advises,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encourages or requests any person to take or refrain from taking any action.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0" w:lineRule="auto"/>
        <w:rPr>
          <w:sz w:val="20"/>
          <w:szCs w:val="20"/>
          <w:color w:val="auto"/>
        </w:rPr>
      </w:pPr>
      <w:r>
        <w:rPr>
          <w:rFonts w:ascii="Times New Roman" w:cs="Times New Roman" w:eastAsia="Times New Roman" w:hAnsi="Times New Roman"/>
          <w:sz w:val="12"/>
          <w:szCs w:val="12"/>
          <w:color w:val="010000"/>
        </w:rPr>
        <w:t>(f)           </w:t>
      </w:r>
      <w:r>
        <w:rPr>
          <w:rFonts w:ascii="Times New Roman" w:cs="Times New Roman" w:eastAsia="Times New Roman" w:hAnsi="Times New Roman"/>
          <w:sz w:val="12"/>
          <w:szCs w:val="12"/>
          <w:i w:val="1"/>
          <w:iCs w:val="1"/>
          <w:color w:val="000000"/>
        </w:rPr>
        <w:t>Non-Disparagement</w:t>
      </w:r>
      <w:r>
        <w:rPr>
          <w:rFonts w:ascii="Times New Roman" w:cs="Times New Roman" w:eastAsia="Times New Roman" w:hAnsi="Times New Roman"/>
          <w:sz w:val="12"/>
          <w:szCs w:val="12"/>
          <w:color w:val="000000"/>
        </w:rPr>
        <w:t>. To the fullest extent permitted by law, during the term of this Agreement and thereafter, Executive will, in any manner, directly or indirectly make or publish any statement (orally or in writing) that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would libel, slander, disparage, denigrate, ridicule or criticize the Company, any of its Affiliates or any of its or their employees, officers or directors. Nothing in this </w:t>
      </w:r>
      <w:r>
        <w:rPr>
          <w:rFonts w:ascii="Times New Roman" w:cs="Times New Roman" w:eastAsia="Times New Roman" w:hAnsi="Times New Roman"/>
          <w:sz w:val="12"/>
          <w:szCs w:val="12"/>
          <w:u w:val="single" w:color="auto"/>
          <w:color w:val="000000"/>
        </w:rPr>
        <w:t>Section 13(f) </w:t>
      </w:r>
      <w:r>
        <w:rPr>
          <w:rFonts w:ascii="Times New Roman" w:cs="Times New Roman" w:eastAsia="Times New Roman" w:hAnsi="Times New Roman"/>
          <w:sz w:val="12"/>
          <w:szCs w:val="12"/>
          <w:color w:val="000000"/>
        </w:rPr>
        <w:t xml:space="preserve">is intended to, and shall not, restrict or limit Executive from exercising Executive’s protected rights in </w:t>
      </w:r>
      <w:r>
        <w:rPr>
          <w:rFonts w:ascii="Times New Roman" w:cs="Times New Roman" w:eastAsia="Times New Roman" w:hAnsi="Times New Roman"/>
          <w:sz w:val="12"/>
          <w:szCs w:val="12"/>
          <w:u w:val="single" w:color="auto"/>
          <w:color w:val="000000"/>
        </w:rPr>
        <w:t>Section 13(b) </w:t>
      </w:r>
      <w:r>
        <w:rPr>
          <w:rFonts w:ascii="Times New Roman" w:cs="Times New Roman" w:eastAsia="Times New Roman" w:hAnsi="Times New Roman"/>
          <w:sz w:val="12"/>
          <w:szCs w:val="12"/>
          <w:color w:val="000000"/>
        </w:rPr>
        <w:t>hereof, or restrict or limit Executive from providing information in response to a subpoena or other legal process, to a governmental entity or self-regulatory authority, or in the event of litigation between Executive and the Company or any of its Affiliates, or prohibit Executive from making statements or engaging in any other activities or conduct protected by the National Labor Relations Act.  </w:t>
      </w:r>
    </w:p>
    <w:p>
      <w:pPr>
        <w:spacing w:after="0" w:line="1"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010000"/>
        </w:rPr>
        <w:t>(g)          </w:t>
      </w:r>
      <w:r>
        <w:rPr>
          <w:rFonts w:ascii="Times New Roman" w:cs="Times New Roman" w:eastAsia="Times New Roman" w:hAnsi="Times New Roman"/>
          <w:sz w:val="12"/>
          <w:szCs w:val="12"/>
          <w:i w:val="1"/>
          <w:iCs w:val="1"/>
          <w:color w:val="000000"/>
        </w:rPr>
        <w:t>Validity</w:t>
      </w:r>
      <w:r>
        <w:rPr>
          <w:rFonts w:ascii="Times New Roman" w:cs="Times New Roman" w:eastAsia="Times New Roman" w:hAnsi="Times New Roman"/>
          <w:sz w:val="12"/>
          <w:szCs w:val="12"/>
          <w:color w:val="000000"/>
        </w:rPr>
        <w:t>. The terms and provisions of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are intended to be separate and divisible provisions and if, for any reason, any one or more of them is held to be invalid or unenforceable, neither the validity nor the</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 xml:space="preserve">enforceability of any other provision of this Agreement will thereby be affected. The parties acknowledge that the potential restrictions on Executive’s future employment imposed by this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 xml:space="preserve"> are reasonable in both duration and geographic scope and in all other respects. If for any reason any court of competent jurisdiction will find any provisions of this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 xml:space="preserve"> unreasonable in duration or geographic scope or otherwise, Executive and the Company agree that the restrictions and prohibitions contained herein will be effective to the fullest extent allowed under applicable law in such jurisdiction.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(h)          </w:t>
      </w:r>
      <w:r>
        <w:rPr>
          <w:rFonts w:ascii="Times New Roman" w:cs="Times New Roman" w:eastAsia="Times New Roman" w:hAnsi="Times New Roman"/>
          <w:sz w:val="12"/>
          <w:szCs w:val="12"/>
          <w:i w:val="1"/>
          <w:iCs w:val="1"/>
          <w:color w:val="000000"/>
        </w:rPr>
        <w:t>Injunctive Relief</w:t>
      </w:r>
      <w:r>
        <w:rPr>
          <w:rFonts w:ascii="Times New Roman" w:cs="Times New Roman" w:eastAsia="Times New Roman" w:hAnsi="Times New Roman"/>
          <w:sz w:val="12"/>
          <w:szCs w:val="12"/>
          <w:color w:val="000000"/>
        </w:rPr>
        <w:t>. In the event of a breach or threatened breach of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 Executive agrees that the Company will be entitled to injunctive relief in a court of appropriate jurisdiction to remedy any such breach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threatened breach, Executive acknowledging that damages would be inadequate and insufficient.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(i)           </w:t>
      </w:r>
      <w:r>
        <w:rPr>
          <w:rFonts w:ascii="Times New Roman" w:cs="Times New Roman" w:eastAsia="Times New Roman" w:hAnsi="Times New Roman"/>
          <w:sz w:val="12"/>
          <w:szCs w:val="12"/>
          <w:i w:val="1"/>
          <w:iCs w:val="1"/>
          <w:color w:val="000000"/>
        </w:rPr>
        <w:t>Cease Payments</w:t>
      </w:r>
      <w:r>
        <w:rPr>
          <w:rFonts w:ascii="Times New Roman" w:cs="Times New Roman" w:eastAsia="Times New Roman" w:hAnsi="Times New Roman"/>
          <w:sz w:val="12"/>
          <w:szCs w:val="12"/>
          <w:color w:val="000000"/>
        </w:rPr>
        <w:t>. In the event that Executive breaches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13(a)</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13(c)</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13(d)</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13(e) </w:t>
      </w:r>
      <w:r>
        <w:rPr>
          <w:rFonts w:ascii="Times New Roman" w:cs="Times New Roman" w:eastAsia="Times New Roman" w:hAnsi="Times New Roman"/>
          <w:sz w:val="12"/>
          <w:szCs w:val="12"/>
          <w:color w:val="000000"/>
        </w:rPr>
        <w:t>or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13(f)</w:t>
      </w:r>
      <w:r>
        <w:rPr>
          <w:rFonts w:ascii="Times New Roman" w:cs="Times New Roman" w:eastAsia="Times New Roman" w:hAnsi="Times New Roman"/>
          <w:sz w:val="12"/>
          <w:szCs w:val="12"/>
          <w:color w:val="000000"/>
        </w:rPr>
        <w:t>, the Company’s obligation to make or provide payments or benefits under</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8</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will cease.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(j)            </w:t>
      </w:r>
      <w:r>
        <w:rPr>
          <w:rFonts w:ascii="Times New Roman" w:cs="Times New Roman" w:eastAsia="Times New Roman" w:hAnsi="Times New Roman"/>
          <w:sz w:val="12"/>
          <w:szCs w:val="12"/>
          <w:i w:val="1"/>
          <w:iCs w:val="1"/>
          <w:color w:val="000000"/>
        </w:rPr>
        <w:t>Continuing Operation</w:t>
      </w:r>
      <w:r>
        <w:rPr>
          <w:rFonts w:ascii="Times New Roman" w:cs="Times New Roman" w:eastAsia="Times New Roman" w:hAnsi="Times New Roman"/>
          <w:sz w:val="12"/>
          <w:szCs w:val="12"/>
          <w:color w:val="000000"/>
        </w:rPr>
        <w:t>. Except as specifically provided in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 the termination of Executive’s employment or of this Agreement will have no effect on the continuing operation of this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u w:val="single" w:color="auto"/>
          <w:color w:val="000000"/>
        </w:rPr>
        <w:t>Section 13</w:t>
      </w:r>
      <w:r>
        <w:rPr>
          <w:rFonts w:ascii="Times New Roman" w:cs="Times New Roman" w:eastAsia="Times New Roman" w:hAnsi="Times New Roman"/>
          <w:sz w:val="12"/>
          <w:szCs w:val="12"/>
          <w:color w:val="000000"/>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14.        </w:t>
      </w:r>
      <w:r>
        <w:rPr>
          <w:rFonts w:ascii="Times New Roman" w:cs="Times New Roman" w:eastAsia="Times New Roman" w:hAnsi="Times New Roman"/>
          <w:sz w:val="12"/>
          <w:szCs w:val="12"/>
          <w:u w:val="single" w:color="auto"/>
          <w:color w:val="auto"/>
        </w:rPr>
        <w:t>  Concurrent Entry into Ancillary Agreements</w:t>
      </w:r>
      <w:r>
        <w:rPr>
          <w:rFonts w:ascii="Times New Roman" w:cs="Times New Roman" w:eastAsia="Times New Roman" w:hAnsi="Times New Roman"/>
          <w:sz w:val="12"/>
          <w:szCs w:val="12"/>
          <w:color w:val="auto"/>
        </w:rPr>
        <w:t>. As a condition to Executive’s employment hereunder, on or before the Effective Date, Executive will enter into each of the Invention Assignment Agreement and Mutual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to Arbitrate Claims, in each case, pursuant to the Company’s standard form agreements.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15.        </w:t>
      </w:r>
      <w:r>
        <w:rPr>
          <w:rFonts w:ascii="Times New Roman" w:cs="Times New Roman" w:eastAsia="Times New Roman" w:hAnsi="Times New Roman"/>
          <w:sz w:val="12"/>
          <w:szCs w:val="12"/>
          <w:u w:val="single" w:color="auto"/>
          <w:color w:val="auto"/>
        </w:rPr>
        <w:t>  No Duty to Mitigate</w:t>
      </w:r>
      <w:r>
        <w:rPr>
          <w:rFonts w:ascii="Times New Roman" w:cs="Times New Roman" w:eastAsia="Times New Roman" w:hAnsi="Times New Roman"/>
          <w:sz w:val="12"/>
          <w:szCs w:val="12"/>
          <w:color w:val="auto"/>
        </w:rPr>
        <w:t>. Except as otherwise specifically provided herein with respect to early termination of Benefit Continuation Coverage, Executive’s entitlement to payments or benefits hereunder is not subject 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mitigation or a duty to mitigate by Executive.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16.        </w:t>
      </w:r>
      <w:r>
        <w:rPr>
          <w:rFonts w:ascii="Times New Roman" w:cs="Times New Roman" w:eastAsia="Times New Roman" w:hAnsi="Times New Roman"/>
          <w:sz w:val="12"/>
          <w:szCs w:val="12"/>
          <w:u w:val="single" w:color="auto"/>
          <w:color w:val="auto"/>
        </w:rPr>
        <w:t>  Amendment</w:t>
      </w:r>
      <w:r>
        <w:rPr>
          <w:rFonts w:ascii="Times New Roman" w:cs="Times New Roman" w:eastAsia="Times New Roman" w:hAnsi="Times New Roman"/>
          <w:sz w:val="12"/>
          <w:szCs w:val="12"/>
          <w:color w:val="auto"/>
        </w:rPr>
        <w:t>. No provisions of this Agreement may be amended, modified, or waived unless such amendment or modification is agreed to in a writing signed by Executive and by a duly authorized officer of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and such waiver is set forth in writing and signed by the party to be charged.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17.        </w:t>
      </w:r>
      <w:r>
        <w:rPr>
          <w:rFonts w:ascii="Times New Roman" w:cs="Times New Roman" w:eastAsia="Times New Roman" w:hAnsi="Times New Roman"/>
          <w:sz w:val="12"/>
          <w:szCs w:val="12"/>
          <w:u w:val="single" w:color="auto"/>
          <w:color w:val="auto"/>
        </w:rPr>
        <w:t>  Invalidity</w:t>
      </w:r>
      <w:r>
        <w:rPr>
          <w:rFonts w:ascii="Times New Roman" w:cs="Times New Roman" w:eastAsia="Times New Roman" w:hAnsi="Times New Roman"/>
          <w:sz w:val="12"/>
          <w:szCs w:val="12"/>
          <w:color w:val="auto"/>
        </w:rPr>
        <w:t>. The invalidity or unenforceability of any provision or provisions of this Agreement will not affect the validity or enforceability of any other provision of this Agreement, which will remain in full force and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auto"/>
        </w:rPr>
        <w:t>18.        </w:t>
      </w:r>
      <w:r>
        <w:rPr>
          <w:rFonts w:ascii="Times New Roman" w:cs="Times New Roman" w:eastAsia="Times New Roman" w:hAnsi="Times New Roman"/>
          <w:sz w:val="11"/>
          <w:szCs w:val="11"/>
          <w:u w:val="single" w:color="auto"/>
          <w:color w:val="auto"/>
        </w:rPr>
        <w:t>  Notice</w:t>
      </w:r>
      <w:r>
        <w:rPr>
          <w:rFonts w:ascii="Times New Roman" w:cs="Times New Roman" w:eastAsia="Times New Roman" w:hAnsi="Times New Roman"/>
          <w:sz w:val="11"/>
          <w:szCs w:val="11"/>
          <w:color w:val="auto"/>
        </w:rPr>
        <w:t>. For the purposes of this Agreement, unless otherwise provided herein, all notices, demands, requests, elections, consents, approvals and all other communications provided for in this Agreement will be in writing</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and must be given by (1) hand delivery; (2) United States certified or registered mail, return receipt requested, postage prepaid; (3) a recognized overnight courier service providing confirmation of delivery; or (4) email;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that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any email transmission is promptly confirmed by a responsive electronic communication by the recipient thereof or receipt is otherwise clearly evidenced (excluding out-of-office replies or other automatically generated responses).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communications must be sent to the respective parties at the following street addresses or email addresses (or at such other street address or email address for a party as shall be specified for such purpose in a notice given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accordance with this </w:t>
      </w:r>
      <w:r>
        <w:rPr>
          <w:rFonts w:ascii="Times New Roman" w:cs="Times New Roman" w:eastAsia="Times New Roman" w:hAnsi="Times New Roman"/>
          <w:sz w:val="12"/>
          <w:szCs w:val="12"/>
          <w:u w:val="single" w:color="auto"/>
          <w:color w:val="auto"/>
        </w:rPr>
        <w:t>Section 18</w:t>
      </w:r>
      <w:r>
        <w:rPr>
          <w:rFonts w:ascii="Times New Roman" w:cs="Times New Roman" w:eastAsia="Times New Roman" w:hAnsi="Times New Roman"/>
          <w:sz w:val="12"/>
          <w:szCs w:val="12"/>
          <w:color w:val="auto"/>
        </w:rPr>
        <w:t xml:space="preserve">) (it being understood that rejection or other refusal to accept or the inability to deliver because of changed street address or email address of which no notice was given in accordance with this </w:t>
      </w:r>
      <w:r>
        <w:rPr>
          <w:rFonts w:ascii="Times New Roman" w:cs="Times New Roman" w:eastAsia="Times New Roman" w:hAnsi="Times New Roman"/>
          <w:sz w:val="12"/>
          <w:szCs w:val="12"/>
          <w:u w:val="single" w:color="auto"/>
          <w:color w:val="auto"/>
        </w:rPr>
        <w:t>Section 18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shall be deemed to be receipt of such communication as of the date of such rejection, refusal or inability to deliver):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u w:val="single" w:color="auto"/>
          <w:color w:val="auto"/>
        </w:rPr>
        <w:t>If to Executive</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b w:val="1"/>
          <w:bCs w:val="1"/>
          <w:color w:val="auto"/>
        </w:rPr>
        <w:t>[</w:t>
      </w:r>
      <w:r>
        <w:rPr>
          <w:rFonts w:ascii="Times New Roman" w:cs="Times New Roman" w:eastAsia="Times New Roman" w:hAnsi="Times New Roman"/>
          <w:sz w:val="12"/>
          <w:szCs w:val="12"/>
          <w:color w:val="auto"/>
        </w:rPr>
        <w:t>Address on file with the Company</w:t>
      </w:r>
      <w:r>
        <w:rPr>
          <w:rFonts w:ascii="Times New Roman" w:cs="Times New Roman" w:eastAsia="Times New Roman" w:hAnsi="Times New Roman"/>
          <w:sz w:val="12"/>
          <w:szCs w:val="12"/>
          <w:b w:val="1"/>
          <w:bCs w:val="1"/>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u w:val="single" w:color="auto"/>
          <w:color w:val="auto"/>
        </w:rPr>
        <w:t>If to the Company</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Upbound Group, Inc.</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5501 Headquarters Dr.</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Plano, TX 75024</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Telephone number: (972) 624-6773</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Email: bryan.pechersky@upbound.com</w:t>
      </w:r>
    </w:p>
    <w:p>
      <w:pPr>
        <w:spacing w:after="0" w:line="6"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2"/>
          <w:szCs w:val="12"/>
          <w:color w:val="auto"/>
        </w:rPr>
        <w:t>Attention: General Counsel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19.         </w:t>
      </w:r>
      <w:r>
        <w:rPr>
          <w:rFonts w:ascii="Times New Roman" w:cs="Times New Roman" w:eastAsia="Times New Roman" w:hAnsi="Times New Roman"/>
          <w:sz w:val="12"/>
          <w:szCs w:val="12"/>
          <w:u w:val="single" w:color="auto"/>
          <w:color w:val="auto"/>
        </w:rPr>
        <w:t>  Successors and Beneficiaries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i w:val="1"/>
          <w:iCs w:val="1"/>
          <w:color w:val="000000"/>
        </w:rPr>
        <w:t>Successors of the Company</w:t>
      </w:r>
      <w:r>
        <w:rPr>
          <w:rFonts w:ascii="Times New Roman" w:cs="Times New Roman" w:eastAsia="Times New Roman" w:hAnsi="Times New Roman"/>
          <w:sz w:val="12"/>
          <w:szCs w:val="12"/>
          <w:color w:val="000000"/>
        </w:rPr>
        <w:t>. The Company may assign this Agreement, without Executive’s consent, to any of its Affiliates or to any other respective successor (whether direct or indirect, by purchase, merger,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consolidation or otherwise) to all or substantially all of the business and/or assets of the Company. In any such event, the term “</w:t>
      </w:r>
      <w:r>
        <w:rPr>
          <w:rFonts w:ascii="Times New Roman" w:cs="Times New Roman" w:eastAsia="Times New Roman" w:hAnsi="Times New Roman"/>
          <w:sz w:val="12"/>
          <w:szCs w:val="12"/>
          <w:u w:val="single" w:color="auto"/>
          <w:color w:val="auto"/>
        </w:rPr>
        <w:t>Company</w:t>
      </w:r>
      <w:r>
        <w:rPr>
          <w:rFonts w:ascii="Times New Roman" w:cs="Times New Roman" w:eastAsia="Times New Roman" w:hAnsi="Times New Roman"/>
          <w:sz w:val="12"/>
          <w:szCs w:val="12"/>
          <w:color w:val="auto"/>
        </w:rPr>
        <w:t>,” as used herein shall mean the Company and any such successor to, or assignee of, its business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and/or assets.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010000"/>
        </w:rPr>
        <w:t>(b)           </w:t>
      </w:r>
      <w:r>
        <w:rPr>
          <w:rFonts w:ascii="Times New Roman" w:cs="Times New Roman" w:eastAsia="Times New Roman" w:hAnsi="Times New Roman"/>
          <w:sz w:val="11"/>
          <w:szCs w:val="11"/>
          <w:i w:val="1"/>
          <w:iCs w:val="1"/>
          <w:color w:val="000000"/>
        </w:rPr>
        <w:t>Executive’s Beneficiary</w:t>
      </w:r>
      <w:r>
        <w:rPr>
          <w:rFonts w:ascii="Times New Roman" w:cs="Times New Roman" w:eastAsia="Times New Roman" w:hAnsi="Times New Roman"/>
          <w:sz w:val="11"/>
          <w:szCs w:val="11"/>
          <w:color w:val="000000"/>
        </w:rPr>
        <w:t>. For the purposes hereof, Executive’s beneficiary will be the person or persons designated as such in a written beneficiary designation filed with the Company, which may be revoked or revised in</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 same manner at any time prior to Executive’s death. In the absence of a properly filed written beneficiary designation or if no designated beneficiary survives Executive, Executive’s estate will be deemed to be the beneficiary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hereunder.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20.         </w:t>
      </w:r>
      <w:r>
        <w:rPr>
          <w:rFonts w:ascii="Times New Roman" w:cs="Times New Roman" w:eastAsia="Times New Roman" w:hAnsi="Times New Roman"/>
          <w:sz w:val="12"/>
          <w:szCs w:val="12"/>
          <w:u w:val="single" w:color="auto"/>
          <w:color w:val="auto"/>
        </w:rPr>
        <w:t>  Nonassignability</w:t>
      </w:r>
      <w:r>
        <w:rPr>
          <w:rFonts w:ascii="Times New Roman" w:cs="Times New Roman" w:eastAsia="Times New Roman" w:hAnsi="Times New Roman"/>
          <w:sz w:val="12"/>
          <w:szCs w:val="12"/>
          <w:color w:val="auto"/>
        </w:rPr>
        <w:t>. With the exception of Executive’s beneficiary designation, neither Executive nor Executive’s beneficiary may pledge, transfer or assign in any way the right to receive payments or benefits hereunder,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 any attempted pledge, transfer or assignment shall be void and of no force or effect.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firstLine="432"/>
        <w:spacing w:after="0" w:line="253" w:lineRule="auto"/>
        <w:rPr>
          <w:sz w:val="20"/>
          <w:szCs w:val="20"/>
          <w:color w:val="auto"/>
        </w:rPr>
      </w:pPr>
      <w:r>
        <w:rPr>
          <w:rFonts w:ascii="Times New Roman" w:cs="Times New Roman" w:eastAsia="Times New Roman" w:hAnsi="Times New Roman"/>
          <w:sz w:val="12"/>
          <w:szCs w:val="12"/>
          <w:color w:val="auto"/>
        </w:rPr>
        <w:t>21.         </w:t>
      </w:r>
      <w:r>
        <w:rPr>
          <w:rFonts w:ascii="Times New Roman" w:cs="Times New Roman" w:eastAsia="Times New Roman" w:hAnsi="Times New Roman"/>
          <w:sz w:val="12"/>
          <w:szCs w:val="12"/>
          <w:u w:val="single" w:color="auto"/>
          <w:color w:val="auto"/>
        </w:rPr>
        <w:t>  Legal Fees to Enforce Rights after a Change in Control</w:t>
      </w:r>
      <w:r>
        <w:rPr>
          <w:rFonts w:ascii="Times New Roman" w:cs="Times New Roman" w:eastAsia="Times New Roman" w:hAnsi="Times New Roman"/>
          <w:sz w:val="12"/>
          <w:szCs w:val="12"/>
          <w:color w:val="auto"/>
        </w:rPr>
        <w:t>. If, following a Change in Control, the Company fails to comply with any of its obligations under this Agreement or the Company takes any action to declare this Agreement void or unenforceable or institutes any litigation or other legal action designed to deny, diminish or to recover from Executive (or Executive’s beneficiary) the payments and benefits intended to be provided, then Executive (or Executive’s beneficiary, as the case may be) shall be entitled to select and retain counsel at the expense of the Company to represent Executive (or Executive’s beneficiary) in connection with the good faith initiation or defense of any litigation or other legal action, whether by or against the Company or any director, officer, stockholder or other person affiliated with the Company or any successor thereto in any jurisdiction.  </w:t>
      </w:r>
    </w:p>
    <w:p>
      <w:pPr>
        <w:spacing w:after="0" w:line="138" w:lineRule="exact"/>
        <w:rPr>
          <w:sz w:val="20"/>
          <w:szCs w:val="20"/>
          <w:color w:val="auto"/>
        </w:rPr>
      </w:pPr>
    </w:p>
    <w:p>
      <w:pPr>
        <w:ind w:firstLine="432"/>
        <w:spacing w:after="0" w:line="252" w:lineRule="auto"/>
        <w:rPr>
          <w:sz w:val="20"/>
          <w:szCs w:val="20"/>
          <w:color w:val="auto"/>
        </w:rPr>
      </w:pPr>
      <w:r>
        <w:rPr>
          <w:rFonts w:ascii="Times New Roman" w:cs="Times New Roman" w:eastAsia="Times New Roman" w:hAnsi="Times New Roman"/>
          <w:sz w:val="12"/>
          <w:szCs w:val="12"/>
          <w:color w:val="auto"/>
        </w:rPr>
        <w:t>22.         </w:t>
      </w:r>
      <w:r>
        <w:rPr>
          <w:rFonts w:ascii="Times New Roman" w:cs="Times New Roman" w:eastAsia="Times New Roman" w:hAnsi="Times New Roman"/>
          <w:sz w:val="12"/>
          <w:szCs w:val="12"/>
          <w:u w:val="single" w:color="auto"/>
          <w:color w:val="auto"/>
        </w:rPr>
        <w:t>  Governing Law; Waiver of Jury Trial</w:t>
      </w:r>
      <w:r>
        <w:rPr>
          <w:rFonts w:ascii="Times New Roman" w:cs="Times New Roman" w:eastAsia="Times New Roman" w:hAnsi="Times New Roman"/>
          <w:sz w:val="12"/>
          <w:szCs w:val="12"/>
          <w:color w:val="auto"/>
        </w:rPr>
        <w:t xml:space="preserve">. The validity, interpretation, construction and performance of this Agreement shall be governed by the laws of the State of Texas, excluding its conflict of law rules. Any disputes arising out of or relating to this Agreement will be subject to arbitration in accordance with the Mutual Agreement to Arbitrate Claims or any comparable agreement to arbitrate between the parties, in each case, which is governed by the Federal Arbitration Act, as entered into in connection herewith;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xml:space="preserve">, </w:t>
      </w:r>
      <w:r>
        <w:rPr>
          <w:rFonts w:ascii="Times New Roman" w:cs="Times New Roman" w:eastAsia="Times New Roman" w:hAnsi="Times New Roman"/>
          <w:sz w:val="12"/>
          <w:szCs w:val="12"/>
          <w:u w:val="single" w:color="auto"/>
          <w:color w:val="auto"/>
        </w:rPr>
        <w:t>however</w:t>
      </w:r>
      <w:r>
        <w:rPr>
          <w:rFonts w:ascii="Times New Roman" w:cs="Times New Roman" w:eastAsia="Times New Roman" w:hAnsi="Times New Roman"/>
          <w:sz w:val="12"/>
          <w:szCs w:val="12"/>
          <w:color w:val="auto"/>
        </w:rPr>
        <w:t>, that the parties may pursue temporary and/or preliminary individual injunctive relief in a court of competent jurisdiction within the districts that include Collin County, Texas, because the award to which the party may be entitled in arbitration may be rendered ineffectual without such relief. Any such action shall not constitute a waiver of the parties’ agreement to arbitrate by any party. In all other respects the Mutual Agreement to Arbitrate Claims between the parties, which is incorporated herein by reference, shall control. Any suit for temporary and/or preliminary injunctive relief will be brought in the federal or state courts in the districts which include Collin County, Texas, and you hereby agree to submit to the personal jurisdiction and venue thereof. To the extent permitted by law, Executive and the Company waive any rights to a jury trial with respect to any controversy or claim between Executive and the Company arising out of or relating to or concerning this Agreement.  </w:t>
      </w:r>
    </w:p>
    <w:p>
      <w:pPr>
        <w:spacing w:after="0" w:line="2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23.         </w:t>
      </w:r>
      <w:r>
        <w:rPr>
          <w:rFonts w:ascii="Times New Roman" w:cs="Times New Roman" w:eastAsia="Times New Roman" w:hAnsi="Times New Roman"/>
          <w:sz w:val="12"/>
          <w:szCs w:val="12"/>
          <w:u w:val="single" w:color="auto"/>
          <w:color w:val="auto"/>
        </w:rPr>
        <w:t>  Compliance with Section 409A Deferral Requirements</w:t>
      </w:r>
      <w:r>
        <w:rPr>
          <w:rFonts w:ascii="Times New Roman" w:cs="Times New Roman" w:eastAsia="Times New Roman" w:hAnsi="Times New Roman"/>
          <w:sz w:val="12"/>
          <w:szCs w:val="12"/>
          <w:color w:val="auto"/>
        </w:rPr>
        <w: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right="20" w:firstLine="432"/>
        <w:spacing w:after="0" w:line="260" w:lineRule="auto"/>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It is intended that any amounts payable under this Agreement shall be exempt from or comply with, and avoid the imputation of any tax, penalty or interest under, Section 409A of the Internal Revenue Code of 1986, as</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amended (the “</w:t>
      </w:r>
      <w:r>
        <w:rPr>
          <w:rFonts w:ascii="Times New Roman" w:cs="Times New Roman" w:eastAsia="Times New Roman" w:hAnsi="Times New Roman"/>
          <w:sz w:val="12"/>
          <w:szCs w:val="12"/>
          <w:u w:val="single" w:color="auto"/>
          <w:color w:val="000000"/>
        </w:rPr>
        <w:t>Code</w:t>
      </w:r>
      <w:r>
        <w:rPr>
          <w:rFonts w:ascii="Times New Roman" w:cs="Times New Roman" w:eastAsia="Times New Roman" w:hAnsi="Times New Roman"/>
          <w:sz w:val="12"/>
          <w:szCs w:val="12"/>
          <w:color w:val="000000"/>
        </w:rPr>
        <w:t>”) and the final Treasury regulations promulgated thereunder to the fullest extent permissible under applicable law. This Agreement shall be construed and interpreted consistent with that intent.  </w:t>
      </w:r>
    </w:p>
    <w:p>
      <w:pPr>
        <w:spacing w:after="0" w:line="133" w:lineRule="exact"/>
        <w:rPr>
          <w:sz w:val="20"/>
          <w:szCs w:val="20"/>
          <w:color w:val="auto"/>
        </w:rPr>
      </w:pPr>
    </w:p>
    <w:p>
      <w:pPr>
        <w:jc w:val="both"/>
        <w:ind w:right="20" w:firstLine="432"/>
        <w:spacing w:after="0" w:line="250" w:lineRule="auto"/>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If Executive is a “specified employee” within the meaning of Treasury Regulation Section 1.409A-1(i) as of the date of the termination of his employment with the Company, Executive shall not be entitled to receive any</w:t>
      </w:r>
      <w:r>
        <w:rPr>
          <w:rFonts w:ascii="Times New Roman" w:cs="Times New Roman" w:eastAsia="Times New Roman" w:hAnsi="Times New Roman"/>
          <w:sz w:val="12"/>
          <w:szCs w:val="12"/>
          <w:color w:val="010000"/>
        </w:rPr>
        <w:t xml:space="preserve"> </w:t>
      </w:r>
      <w:r>
        <w:rPr>
          <w:rFonts w:ascii="Times New Roman" w:cs="Times New Roman" w:eastAsia="Times New Roman" w:hAnsi="Times New Roman"/>
          <w:sz w:val="12"/>
          <w:szCs w:val="12"/>
          <w:color w:val="000000"/>
        </w:rPr>
        <w:t>payment that constitutes “nonqualified deferred compensation” within the meaning of Section 409A of the Code and which would be payable upon Executive’s separation from service until the earlier of (1) the date which is six</w:t>
      </w:r>
    </w:p>
    <w:p>
      <w:pPr>
        <w:spacing w:after="0" w:line="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 xml:space="preserve">(6) months after his separation from service (within the meaning of Section 409A of the Code) for any reason other than death, or (2) the date of Executive’s death; </w:t>
      </w:r>
      <w:r>
        <w:rPr>
          <w:rFonts w:ascii="Times New Roman" w:cs="Times New Roman" w:eastAsia="Times New Roman" w:hAnsi="Times New Roman"/>
          <w:sz w:val="12"/>
          <w:szCs w:val="12"/>
          <w:u w:val="single" w:color="auto"/>
          <w:color w:val="auto"/>
        </w:rPr>
        <w:t>provided</w:t>
      </w:r>
      <w:r>
        <w:rPr>
          <w:rFonts w:ascii="Times New Roman" w:cs="Times New Roman" w:eastAsia="Times New Roman" w:hAnsi="Times New Roman"/>
          <w:sz w:val="12"/>
          <w:szCs w:val="12"/>
          <w:color w:val="auto"/>
        </w:rPr>
        <w:t>, that this paragraph shall only apply if, and to the extent, required to avoid the imputation of any tax, penalty or interest pursuant to Section 409A of the Code. Any amounts otherwise payable to Executive upon or in the six (6) month period following Executive’s separation from service that are not so paid by reason of this paragraph shall be paid (without interest) within thirty (30) days after the date that is six (6) months after Executive’s separation from service (provided that in the event of Executive’s death after such separation from service but prior to payment, then such payment shall be made within thirty (30) days after the date of Executive’s death).  </w:t>
      </w:r>
    </w:p>
    <w:p>
      <w:pPr>
        <w:spacing w:after="0" w:line="13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Any reimbursement payment or in-kind benefit due to Executive under this Agreement, to the extent that such reimbursements or in-kind benefits are taxable to him, shall be paid on or before the last day of Executive’s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taxable year following the taxable year in which the related expense was incurred. Reimbursements and in-kind benefits pursuant to this Agreement are not subject to liquidation or exchange for another benefit, and the provision of in-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kind benefits during one calendar year shall not affect the in-kind benefits to be provided in any other calendar year.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1"/>
          <w:szCs w:val="11"/>
          <w:color w:val="010000"/>
        </w:rPr>
        <w:t>(d)          </w:t>
      </w:r>
      <w:r>
        <w:rPr>
          <w:rFonts w:ascii="Times New Roman" w:cs="Times New Roman" w:eastAsia="Times New Roman" w:hAnsi="Times New Roman"/>
          <w:sz w:val="11"/>
          <w:szCs w:val="11"/>
          <w:color w:val="000000"/>
        </w:rPr>
        <w:t>For purposes of Section 409A of the Code, Executive’s right to receive any installment payments hereunder shall be treated as a right to receive a series of separate and distinct payments. Whenever a payment under this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specifies a payment period with reference to a number of days (e.g., payment shall be made within thirty (30) days following the date of termination), the actual date of payment within the specified period shall be within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sole discretion of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24.        </w:t>
      </w:r>
      <w:r>
        <w:rPr>
          <w:rFonts w:ascii="Times New Roman" w:cs="Times New Roman" w:eastAsia="Times New Roman" w:hAnsi="Times New Roman"/>
          <w:sz w:val="12"/>
          <w:szCs w:val="12"/>
          <w:u w:val="single" w:color="auto"/>
          <w:color w:val="auto"/>
        </w:rPr>
        <w:t>  Section 280G</w:t>
      </w:r>
      <w:r>
        <w:rPr>
          <w:rFonts w:ascii="Times New Roman" w:cs="Times New Roman" w:eastAsia="Times New Roman" w:hAnsi="Times New Roman"/>
          <w:sz w:val="12"/>
          <w:szCs w:val="12"/>
          <w:color w:val="auto"/>
        </w:rPr>
        <w:t>. In the event that any payments or benefits provided for in this Agreement or otherwise payable to Executive (collectively, the “</w:t>
      </w:r>
      <w:r>
        <w:rPr>
          <w:rFonts w:ascii="Times New Roman" w:cs="Times New Roman" w:eastAsia="Times New Roman" w:hAnsi="Times New Roman"/>
          <w:sz w:val="12"/>
          <w:szCs w:val="12"/>
          <w:u w:val="single" w:color="auto"/>
          <w:color w:val="auto"/>
        </w:rPr>
        <w:t>Payments</w:t>
      </w:r>
      <w:r>
        <w:rPr>
          <w:rFonts w:ascii="Times New Roman" w:cs="Times New Roman" w:eastAsia="Times New Roman" w:hAnsi="Times New Roman"/>
          <w:sz w:val="12"/>
          <w:szCs w:val="12"/>
          <w:color w:val="auto"/>
        </w:rPr>
        <w:t>”) (1) constitute “parachute payments” within the meaning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xml:space="preserve">Section 280G of the Code, and (2) but for this </w:t>
      </w:r>
      <w:r>
        <w:rPr>
          <w:rFonts w:ascii="Times New Roman" w:cs="Times New Roman" w:eastAsia="Times New Roman" w:hAnsi="Times New Roman"/>
          <w:sz w:val="12"/>
          <w:szCs w:val="12"/>
          <w:u w:val="single" w:color="auto"/>
          <w:color w:val="auto"/>
        </w:rPr>
        <w:t>Section 24</w:t>
      </w:r>
      <w:r>
        <w:rPr>
          <w:rFonts w:ascii="Times New Roman" w:cs="Times New Roman" w:eastAsia="Times New Roman" w:hAnsi="Times New Roman"/>
          <w:sz w:val="12"/>
          <w:szCs w:val="12"/>
          <w:color w:val="auto"/>
        </w:rPr>
        <w:t>, would be subject to the excise tax imposed by Section 4999 of the Code, then the Payments will be either (x) delivered in full or (y) delivered as to such lesser extent that would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result in no portion of the Payments being subject to excise tax under Section 4999 of the Code, whichever of the foregoing amounts, taking into account the applicable federal, state and local income and employment taxes and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excise tax imposed by Section 4999 of the Code (and any equivalent state or local excise taxes), results in the receipt by Executive on an after-tax basis, of the greatest amount of Payments, notwithstanding that all or some portion of</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such Payments may be taxable under Section 4999 of the Code.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25.        </w:t>
      </w:r>
      <w:r>
        <w:rPr>
          <w:rFonts w:ascii="Times New Roman" w:cs="Times New Roman" w:eastAsia="Times New Roman" w:hAnsi="Times New Roman"/>
          <w:sz w:val="12"/>
          <w:szCs w:val="12"/>
          <w:u w:val="single" w:color="auto"/>
          <w:color w:val="auto"/>
        </w:rPr>
        <w:t>  Withholding</w:t>
      </w:r>
      <w:r>
        <w:rPr>
          <w:rFonts w:ascii="Times New Roman" w:cs="Times New Roman" w:eastAsia="Times New Roman" w:hAnsi="Times New Roman"/>
          <w:sz w:val="12"/>
          <w:szCs w:val="12"/>
          <w:color w:val="auto"/>
        </w:rPr>
        <w:t>. The Company and its Affiliates may withhold from any and all amounts payable under this Agreement such federal, state and local taxes as may be required to be withheld pursuant to applicable law or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regulation.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26.        </w:t>
      </w:r>
      <w:r>
        <w:rPr>
          <w:rFonts w:ascii="Times New Roman" w:cs="Times New Roman" w:eastAsia="Times New Roman" w:hAnsi="Times New Roman"/>
          <w:sz w:val="12"/>
          <w:szCs w:val="12"/>
          <w:u w:val="single" w:color="auto"/>
          <w:color w:val="auto"/>
        </w:rPr>
        <w:t>  Entire Agreement</w:t>
      </w:r>
      <w:r>
        <w:rPr>
          <w:rFonts w:ascii="Times New Roman" w:cs="Times New Roman" w:eastAsia="Times New Roman" w:hAnsi="Times New Roman"/>
          <w:sz w:val="12"/>
          <w:szCs w:val="12"/>
          <w:color w:val="auto"/>
        </w:rPr>
        <w:t>. This Agreement sets forth the entire agreement of the parties hereto in respect of the subject matter contained herein and supersedes all prior agreements, term sheets, promises, covenants,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arrangements, communications, representations or warranties, whether oral or written, by any officer, employee or representative of any party hereto in respect of such subject matter, other than the Loyalty and Confidentiality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 between Executive and the Company (“</w:t>
      </w:r>
      <w:r>
        <w:rPr>
          <w:rFonts w:ascii="Times New Roman" w:cs="Times New Roman" w:eastAsia="Times New Roman" w:hAnsi="Times New Roman"/>
          <w:sz w:val="12"/>
          <w:szCs w:val="12"/>
          <w:u w:val="single" w:color="auto"/>
          <w:color w:val="auto"/>
        </w:rPr>
        <w:t>Loyalty Agreement</w:t>
      </w:r>
      <w:r>
        <w:rPr>
          <w:rFonts w:ascii="Times New Roman" w:cs="Times New Roman" w:eastAsia="Times New Roman" w:hAnsi="Times New Roman"/>
          <w:sz w:val="12"/>
          <w:szCs w:val="12"/>
          <w:color w:val="auto"/>
        </w:rPr>
        <w:t>”), the Invention Assignment Agreement, the Mutual Agreement to Arbitrate Claims and any equity agreements in which Executive is a participant on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Commencement Date. Any other prior agreement of the parties hereto in respect of the subject matter contained herein, including, without limitation, the Executive Transition Agreement by and between Executive and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dated October 31, 2022, is hereby terminated and cancelled as of the Commencement Date, other than the Loyalty Agreement, the Invention Assignment Agreement, the Mutual Agreement to Arbitrate Claims and any equity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agreements in which Executive is a participant on the Commencement Date.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27.        </w:t>
      </w:r>
      <w:r>
        <w:rPr>
          <w:rFonts w:ascii="Times New Roman" w:cs="Times New Roman" w:eastAsia="Times New Roman" w:hAnsi="Times New Roman"/>
          <w:sz w:val="12"/>
          <w:szCs w:val="12"/>
          <w:u w:val="single" w:color="auto"/>
          <w:color w:val="auto"/>
        </w:rPr>
        <w:t>  Captions; Section Headings</w:t>
      </w:r>
      <w:r>
        <w:rPr>
          <w:rFonts w:ascii="Times New Roman" w:cs="Times New Roman" w:eastAsia="Times New Roman" w:hAnsi="Times New Roman"/>
          <w:sz w:val="12"/>
          <w:szCs w:val="12"/>
          <w:color w:val="auto"/>
        </w:rPr>
        <w:t>. Captions and section headings used herein are for convenience only and are not a part of this Agreement and shall not be used in construing 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28.        </w:t>
      </w:r>
      <w:r>
        <w:rPr>
          <w:rFonts w:ascii="Times New Roman" w:cs="Times New Roman" w:eastAsia="Times New Roman" w:hAnsi="Times New Roman"/>
          <w:sz w:val="12"/>
          <w:szCs w:val="12"/>
          <w:u w:val="single" w:color="auto"/>
          <w:color w:val="auto"/>
        </w:rPr>
        <w:t>  Certain Defined Terms</w:t>
      </w:r>
      <w:r>
        <w:rPr>
          <w:rFonts w:ascii="Times New Roman" w:cs="Times New Roman" w:eastAsia="Times New Roman" w:hAnsi="Times New Roman"/>
          <w:sz w:val="12"/>
          <w:szCs w:val="12"/>
          <w:color w:val="auto"/>
        </w:rPr>
        <w:t>. The following terms have the following meanings when used in this Agreement.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(a)          </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u w:val="single" w:color="auto"/>
          <w:color w:val="000000"/>
        </w:rPr>
        <w:t>Accrued Compensation</w:t>
      </w:r>
      <w:r>
        <w:rPr>
          <w:rFonts w:ascii="Times New Roman" w:cs="Times New Roman" w:eastAsia="Times New Roman" w:hAnsi="Times New Roman"/>
          <w:sz w:val="12"/>
          <w:szCs w:val="12"/>
          <w:color w:val="000000"/>
        </w:rPr>
        <w:t>” means, as of any date, (1) the unpaid amount, if any, of Executive’s previously earned Base Salary, (2) the unpaid amount, if any, of the bonus earned by Executive for the preceding year, and</w:t>
      </w:r>
    </w:p>
    <w:p>
      <w:pPr>
        <w:spacing w:after="0" w:line="6" w:lineRule="exact"/>
        <w:rPr>
          <w:sz w:val="20"/>
          <w:szCs w:val="20"/>
          <w:color w:val="auto"/>
        </w:rPr>
      </w:pPr>
    </w:p>
    <w:p>
      <w:pPr>
        <w:ind w:right="1400"/>
        <w:spacing w:after="0" w:line="250" w:lineRule="auto"/>
        <w:rPr>
          <w:sz w:val="20"/>
          <w:szCs w:val="20"/>
          <w:color w:val="auto"/>
        </w:rPr>
      </w:pPr>
      <w:r>
        <w:rPr>
          <w:rFonts w:ascii="Times New Roman" w:cs="Times New Roman" w:eastAsia="Times New Roman" w:hAnsi="Times New Roman"/>
          <w:sz w:val="12"/>
          <w:szCs w:val="12"/>
          <w:color w:val="auto"/>
        </w:rPr>
        <w:t>(3) additional payments or benefits, if any, earned by Executive under and in accordance with any employee plan, program or arrangement of or with the Company or an Affiliate (other than this Agreement).  </w:t>
      </w:r>
    </w:p>
    <w:p>
      <w:pPr>
        <w:spacing w:after="0" w:line="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(b)          </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u w:val="single" w:color="auto"/>
          <w:color w:val="000000"/>
        </w:rPr>
        <w:t>Affiliate</w:t>
      </w:r>
      <w:r>
        <w:rPr>
          <w:rFonts w:ascii="Times New Roman" w:cs="Times New Roman" w:eastAsia="Times New Roman" w:hAnsi="Times New Roman"/>
          <w:sz w:val="12"/>
          <w:szCs w:val="12"/>
          <w:color w:val="000000"/>
        </w:rPr>
        <w:t>” means an entity at least fifty (50%) of the voting, capital or profits interests of which are owned directly or indirectly by the Company.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(c)          </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u w:val="single" w:color="auto"/>
          <w:color w:val="000000"/>
        </w:rPr>
        <w:t>Benefit Continuation Coverage</w:t>
      </w:r>
      <w:r>
        <w:rPr>
          <w:rFonts w:ascii="Times New Roman" w:cs="Times New Roman" w:eastAsia="Times New Roman" w:hAnsi="Times New Roman"/>
          <w:sz w:val="12"/>
          <w:szCs w:val="12"/>
          <w:color w:val="000000"/>
        </w:rPr>
        <w:t>” means if Executive timely elects and maintains continuation coverage pursuant to the Consolidated Omnibus Budget Reconciliation Act of 1985 (“</w:t>
      </w:r>
      <w:r>
        <w:rPr>
          <w:rFonts w:ascii="Times New Roman" w:cs="Times New Roman" w:eastAsia="Times New Roman" w:hAnsi="Times New Roman"/>
          <w:sz w:val="12"/>
          <w:szCs w:val="12"/>
          <w:u w:val="single" w:color="auto"/>
          <w:color w:val="000000"/>
        </w:rPr>
        <w:t>COBRA</w:t>
      </w:r>
      <w:r>
        <w:rPr>
          <w:rFonts w:ascii="Times New Roman" w:cs="Times New Roman" w:eastAsia="Times New Roman" w:hAnsi="Times New Roman"/>
          <w:sz w:val="12"/>
          <w:szCs w:val="12"/>
          <w:color w:val="000000"/>
        </w:rPr>
        <w:t>”) for Executive and his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eligible dependents, as applicable, the Company will pay Executive a monthly amount equal to the amount it contributes from time to time to group medical, dental and/or vision insurance premiums (as applicable) for similarly situated</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active employees until the earlier of (1) twenty-four (24) months following the Date of Termination or (2) the date upon which Executive begins other employment that provides for comparable health coverage benefits. However, if the</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Company determines in its sole discretion exercised in reasonable good faith that it cannot provide the COBRA benefits without potentially violating applicable law (including, without limitation, Section 2716 of the Public Health</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Service Act), the Company and Executive will coordinate in good faith to restructure such benefit.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010000"/>
        </w:rPr>
        <w:t>(d)          </w:t>
      </w:r>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u w:val="single" w:color="auto"/>
          <w:color w:val="000000"/>
        </w:rPr>
        <w:t>Change in Control</w:t>
      </w:r>
      <w:r>
        <w:rPr>
          <w:rFonts w:ascii="Times New Roman" w:cs="Times New Roman" w:eastAsia="Times New Roman" w:hAnsi="Times New Roman"/>
          <w:sz w:val="12"/>
          <w:szCs w:val="12"/>
          <w:color w:val="000000"/>
        </w:rPr>
        <w:t>” shall have the meaning set forth in the Plan.</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both"/>
        <w:ind w:firstLine="432"/>
        <w:spacing w:after="0" w:line="255" w:lineRule="auto"/>
        <w:rPr>
          <w:sz w:val="20"/>
          <w:szCs w:val="20"/>
          <w:color w:val="auto"/>
        </w:rPr>
      </w:pPr>
      <w:r>
        <w:rPr>
          <w:rFonts w:ascii="Times New Roman" w:cs="Times New Roman" w:eastAsia="Times New Roman" w:hAnsi="Times New Roman"/>
          <w:sz w:val="12"/>
          <w:szCs w:val="12"/>
          <w:color w:val="auto"/>
        </w:rPr>
        <w:t>(e)          “</w:t>
      </w:r>
      <w:r>
        <w:rPr>
          <w:rFonts w:ascii="Times New Roman" w:cs="Times New Roman" w:eastAsia="Times New Roman" w:hAnsi="Times New Roman"/>
          <w:sz w:val="12"/>
          <w:szCs w:val="12"/>
          <w:u w:val="single" w:color="auto"/>
          <w:color w:val="auto"/>
        </w:rPr>
        <w:t>Pro Rata Bonus</w:t>
      </w:r>
      <w:r>
        <w:rPr>
          <w:rFonts w:ascii="Times New Roman" w:cs="Times New Roman" w:eastAsia="Times New Roman" w:hAnsi="Times New Roman"/>
          <w:sz w:val="12"/>
          <w:szCs w:val="12"/>
          <w:color w:val="auto"/>
        </w:rPr>
        <w:t>” means (1) if the termination is in conjunction with a Change in Control, Executive’s target annual bonus or (2) if such termination is not in conjunction with a Change in Control, Executive’s annual bonus, if any, earned by Executive for the year of termination based on actual performance, in each case, multiplied by a fraction, the numerator of which is the number of days elapsed from the beginning of the calendar year in which Executive’s employment terminates until the Date of Termination, and the denominator of which is 365 (or 366 if a leap year).  </w:t>
      </w:r>
    </w:p>
    <w:p>
      <w:pPr>
        <w:spacing w:after="0" w:line="136" w:lineRule="exact"/>
        <w:rPr>
          <w:sz w:val="20"/>
          <w:szCs w:val="20"/>
          <w:color w:val="auto"/>
        </w:rPr>
      </w:pPr>
    </w:p>
    <w:p>
      <w:pPr>
        <w:ind w:firstLine="432"/>
        <w:spacing w:after="0" w:line="260" w:lineRule="auto"/>
        <w:rPr>
          <w:sz w:val="20"/>
          <w:szCs w:val="20"/>
          <w:color w:val="auto"/>
        </w:rPr>
      </w:pPr>
      <w:r>
        <w:rPr>
          <w:rFonts w:ascii="Times New Roman" w:cs="Times New Roman" w:eastAsia="Times New Roman" w:hAnsi="Times New Roman"/>
          <w:sz w:val="12"/>
          <w:szCs w:val="12"/>
          <w:color w:val="auto"/>
        </w:rPr>
        <w:t>(f)           “</w:t>
      </w:r>
      <w:r>
        <w:rPr>
          <w:rFonts w:ascii="Times New Roman" w:cs="Times New Roman" w:eastAsia="Times New Roman" w:hAnsi="Times New Roman"/>
          <w:sz w:val="12"/>
          <w:szCs w:val="12"/>
          <w:u w:val="single" w:color="auto"/>
          <w:color w:val="auto"/>
        </w:rPr>
        <w:t>Salary and Bonus</w:t>
      </w:r>
      <w:r>
        <w:rPr>
          <w:rFonts w:ascii="Times New Roman" w:cs="Times New Roman" w:eastAsia="Times New Roman" w:hAnsi="Times New Roman"/>
          <w:sz w:val="12"/>
          <w:szCs w:val="12"/>
          <w:color w:val="auto"/>
        </w:rPr>
        <w:t>” means, as of the effective date of the termination of Executive’s employment with the Company and its Affiliates, the sum of: (1) Executive’s highest annual rate of salary at any time during the preceding twenty-four (24) months, and (2) Executive’s target bonus amount for the calendar year in which such termination occurs.  </w:t>
      </w:r>
    </w:p>
    <w:p>
      <w:pPr>
        <w:spacing w:after="0" w:line="13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2"/>
          <w:szCs w:val="12"/>
          <w:color w:val="auto"/>
        </w:rPr>
        <w:t>29.        </w:t>
      </w:r>
      <w:r>
        <w:rPr>
          <w:rFonts w:ascii="Times New Roman" w:cs="Times New Roman" w:eastAsia="Times New Roman" w:hAnsi="Times New Roman"/>
          <w:sz w:val="12"/>
          <w:szCs w:val="12"/>
          <w:u w:val="single" w:color="auto"/>
          <w:color w:val="auto"/>
        </w:rPr>
        <w:t>  Counterparts</w:t>
      </w:r>
      <w:r>
        <w:rPr>
          <w:rFonts w:ascii="Times New Roman" w:cs="Times New Roman" w:eastAsia="Times New Roman" w:hAnsi="Times New Roman"/>
          <w:sz w:val="12"/>
          <w:szCs w:val="12"/>
          <w:color w:val="auto"/>
        </w:rPr>
        <w:t>. This Agreement may be executed in any number of counterparts, each of which will be deemed an original, and all of which together will constitute one and the same instrument. This Agreement will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become binding when one or more counterparts hereof, individually or taken together, will bear the signatures of all of the parties reflected hereon as the signatories. Any signature on this Agreement delivered by photographic,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electronic or PDF copy shall be deemed to be an original signature hereto.</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[Signature page follows]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7178040" cy="57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19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color w:val="auto"/>
        </w:rPr>
        <w:t> </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12"/>
                <w:szCs w:val="12"/>
                <w:color w:val="auto"/>
              </w:rPr>
            </w:pP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IN WITNESS WHEREOF, the parties have executed this Agreement as of the Effective Date.</w:t>
            </w:r>
          </w:p>
        </w:tc>
        <w:tc>
          <w:tcPr>
            <w:tcW w:w="5660" w:type="dxa"/>
            <w:vAlign w:val="bottom"/>
          </w:tcPr>
          <w:p>
            <w:pPr>
              <w:spacing w:after="0"/>
              <w:rPr>
                <w:sz w:val="12"/>
                <w:szCs w:val="12"/>
                <w:color w:val="auto"/>
              </w:rPr>
            </w:pP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12"/>
                <w:szCs w:val="12"/>
                <w:color w:val="auto"/>
              </w:rPr>
            </w:pP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UPBOUND GROUP, INC.</w:t>
            </w:r>
          </w:p>
        </w:tc>
        <w:tc>
          <w:tcPr>
            <w:tcW w:w="5660" w:type="dxa"/>
            <w:vAlign w:val="bottom"/>
          </w:tcPr>
          <w:p>
            <w:pPr>
              <w:spacing w:after="0"/>
              <w:rPr>
                <w:sz w:val="12"/>
                <w:szCs w:val="12"/>
                <w:color w:val="auto"/>
              </w:rPr>
            </w:pP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12"/>
                <w:szCs w:val="12"/>
                <w:color w:val="auto"/>
              </w:rPr>
            </w:pPr>
          </w:p>
        </w:tc>
      </w:tr>
      <w:tr>
        <w:trPr>
          <w:trHeight w:val="155"/>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Transient Taylor</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22"/>
        </w:trPr>
        <w:tc>
          <w:tcPr>
            <w:tcW w:w="564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By: Transient Taylor</w:t>
            </w:r>
          </w:p>
        </w:tc>
        <w:tc>
          <w:tcPr>
            <w:tcW w:w="5660" w:type="dxa"/>
            <w:vAlign w:val="bottom"/>
          </w:tcPr>
          <w:p>
            <w:pPr>
              <w:spacing w:after="0" w:line="122" w:lineRule="exact"/>
              <w:rPr>
                <w:sz w:val="20"/>
                <w:szCs w:val="20"/>
                <w:color w:val="auto"/>
              </w:rPr>
            </w:pPr>
            <w:r>
              <w:rPr>
                <w:rFonts w:ascii="Times New Roman" w:cs="Times New Roman" w:eastAsia="Times New Roman" w:hAnsi="Times New Roman"/>
                <w:sz w:val="12"/>
                <w:szCs w:val="12"/>
                <w:color w:val="auto"/>
              </w:rPr>
              <w:t> </w:t>
            </w: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Title: Executive Vice President — Chief Human Resources Officer</w:t>
            </w:r>
          </w:p>
        </w:tc>
        <w:tc>
          <w:tcPr>
            <w:tcW w:w="5660" w:type="dxa"/>
            <w:vAlign w:val="bottom"/>
          </w:tcPr>
          <w:p>
            <w:pPr>
              <w:spacing w:after="0"/>
              <w:rPr>
                <w:sz w:val="12"/>
                <w:szCs w:val="12"/>
                <w:color w:val="auto"/>
              </w:rPr>
            </w:pPr>
          </w:p>
        </w:tc>
      </w:tr>
      <w:tr>
        <w:trPr>
          <w:trHeight w:val="140"/>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8"/>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b w:val="1"/>
                <w:bCs w:val="1"/>
                <w:color w:val="auto"/>
              </w:rPr>
              <w:t>February 19, 2025</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FAHMI KARAM</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44"/>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Fahmi Karam</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18"/>
        </w:trPr>
        <w:tc>
          <w:tcPr>
            <w:tcW w:w="564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line="118" w:lineRule="exact"/>
              <w:rPr>
                <w:sz w:val="20"/>
                <w:szCs w:val="20"/>
                <w:color w:val="auto"/>
              </w:rPr>
            </w:pPr>
            <w:r>
              <w:rPr>
                <w:rFonts w:ascii="Times New Roman" w:cs="Times New Roman" w:eastAsia="Times New Roman" w:hAnsi="Times New Roman"/>
                <w:sz w:val="12"/>
                <w:szCs w:val="12"/>
                <w:color w:val="auto"/>
              </w:rPr>
              <w:t> </w:t>
            </w:r>
          </w:p>
        </w:tc>
      </w:tr>
      <w:tr>
        <w:trPr>
          <w:trHeight w:val="148"/>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xml:space="preserve">Date: </w:t>
            </w:r>
            <w:r>
              <w:rPr>
                <w:rFonts w:ascii="Times New Roman" w:cs="Times New Roman" w:eastAsia="Times New Roman" w:hAnsi="Times New Roman"/>
                <w:sz w:val="12"/>
                <w:szCs w:val="12"/>
                <w:b w:val="1"/>
                <w:bCs w:val="1"/>
                <w:color w:val="auto"/>
              </w:rPr>
              <w:t>February 19, 2025</w:t>
            </w:r>
          </w:p>
        </w:tc>
        <w:tc>
          <w:tcPr>
            <w:tcW w:w="566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r>
      <w:tr>
        <w:trPr>
          <w:trHeight w:val="155"/>
        </w:trPr>
        <w:tc>
          <w:tcPr>
            <w:tcW w:w="5640" w:type="dxa"/>
            <w:vAlign w:val="bottom"/>
          </w:tcPr>
          <w:p>
            <w:pPr>
              <w:spacing w:after="0"/>
              <w:rPr>
                <w:sz w:val="20"/>
                <w:szCs w:val="20"/>
                <w:color w:val="auto"/>
              </w:rPr>
            </w:pPr>
            <w:r>
              <w:rPr>
                <w:rFonts w:ascii="Times New Roman" w:cs="Times New Roman" w:eastAsia="Times New Roman" w:hAnsi="Times New Roman"/>
                <w:sz w:val="12"/>
                <w:szCs w:val="12"/>
                <w:color w:val="auto"/>
              </w:rPr>
              <w:t> </w:t>
            </w:r>
          </w:p>
        </w:tc>
        <w:tc>
          <w:tcPr>
            <w:tcW w:w="5660" w:type="dxa"/>
            <w:vAlign w:val="bottom"/>
          </w:tcPr>
          <w:p>
            <w:pPr>
              <w:spacing w:after="0"/>
              <w:rPr>
                <w:sz w:val="13"/>
                <w:szCs w:val="13"/>
                <w:color w:val="auto"/>
              </w:rPr>
            </w:pPr>
          </w:p>
        </w:tc>
      </w:tr>
      <w:tr>
        <w:trPr>
          <w:trHeight w:val="306"/>
        </w:trPr>
        <w:tc>
          <w:tcPr>
            <w:tcW w:w="56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 </w:t>
            </w:r>
          </w:p>
        </w:tc>
        <w:tc>
          <w:tcPr>
            <w:tcW w:w="5660" w:type="dxa"/>
            <w:vAlign w:val="bottom"/>
            <w:tcBorders>
              <w:bottom w:val="single" w:sz="8" w:color="auto"/>
            </w:tcBorders>
          </w:tcPr>
          <w:p>
            <w:pPr>
              <w:spacing w:after="0"/>
              <w:rPr>
                <w:sz w:val="24"/>
                <w:szCs w:val="24"/>
                <w:color w:val="auto"/>
              </w:rPr>
            </w:pPr>
          </w:p>
        </w:tc>
      </w:tr>
      <w:tr>
        <w:trPr>
          <w:trHeight w:val="231"/>
        </w:trPr>
        <w:tc>
          <w:tcPr>
            <w:tcW w:w="5640" w:type="dxa"/>
            <w:vAlign w:val="bottom"/>
          </w:tcPr>
          <w:p>
            <w:pPr>
              <w:spacing w:after="0"/>
              <w:rPr>
                <w:sz w:val="20"/>
                <w:szCs w:val="20"/>
                <w:color w:val="auto"/>
              </w:rPr>
            </w:pPr>
            <w:r>
              <w:rPr>
                <w:rFonts w:ascii="Times New Roman" w:cs="Times New Roman" w:eastAsia="Times New Roman" w:hAnsi="Times New Roman"/>
                <w:sz w:val="14"/>
                <w:szCs w:val="14"/>
                <w:color w:val="auto"/>
              </w:rPr>
              <w:t> </w:t>
            </w:r>
          </w:p>
        </w:tc>
        <w:tc>
          <w:tcPr>
            <w:tcW w:w="5660" w:type="dxa"/>
            <w:vAlign w:val="bottom"/>
          </w:tcPr>
          <w:p>
            <w:pPr>
              <w:spacing w:after="0"/>
              <w:rPr>
                <w:sz w:val="20"/>
                <w:szCs w:val="20"/>
                <w:color w:val="auto"/>
              </w:rPr>
            </w:pPr>
          </w:p>
        </w:tc>
      </w:tr>
    </w:tbl>
    <w:p>
      <w:pPr>
        <w:sectPr>
          <w:pgSz w:w="11900" w:h="16838" w:orient="portrait"/>
          <w:cols w:equalWidth="0" w:num="1">
            <w:col w:w="11300"/>
          </w:cols>
          <w:pgMar w:left="300" w:top="193" w:right="29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4"/>
          <w:szCs w:val="14"/>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2714625</wp:posOffset>
            </wp:positionH>
            <wp:positionV relativeFrom="paragraph">
              <wp:posOffset>116205</wp:posOffset>
            </wp:positionV>
            <wp:extent cx="1754505" cy="508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54505" cy="508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UPBOUND GROUP, INC. REPORTS FOURTH QUARTER AND FULL YEAR 2024 RESULTS</w:t>
      </w:r>
    </w:p>
    <w:p>
      <w:pPr>
        <w:spacing w:after="0" w:line="150"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Total Revenue of $1,079 million for Fourth Quarter and $4.3 billion for Full Year</w:t>
      </w:r>
    </w:p>
    <w:p>
      <w:pPr>
        <w:spacing w:after="0" w:line="21"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b w:val="1"/>
          <w:bCs w:val="1"/>
          <w:color w:val="auto"/>
        </w:rPr>
        <w:t>GAAP Diluted EPS $0.55 for Fourth Quarter and $2.21 for Full Year</w:t>
      </w:r>
    </w:p>
    <w:p>
      <w:pPr>
        <w:spacing w:after="0" w:line="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2"/>
          <w:szCs w:val="12"/>
          <w:b w:val="1"/>
          <w:bCs w:val="1"/>
          <w:color w:val="auto"/>
        </w:rPr>
        <w:t>Non-GAAP Diluted EPS</w:t>
      </w:r>
      <w:r>
        <w:rPr>
          <w:rFonts w:ascii="Times New Roman" w:cs="Times New Roman" w:eastAsia="Times New Roman" w:hAnsi="Times New Roman"/>
          <w:sz w:val="19"/>
          <w:szCs w:val="19"/>
          <w:b w:val="1"/>
          <w:bCs w:val="1"/>
          <w:color w:val="auto"/>
          <w:vertAlign w:val="superscript"/>
        </w:rPr>
        <w:t>1</w:t>
      </w:r>
      <w:r>
        <w:rPr>
          <w:rFonts w:ascii="Times New Roman" w:cs="Times New Roman" w:eastAsia="Times New Roman" w:hAnsi="Times New Roman"/>
          <w:sz w:val="12"/>
          <w:szCs w:val="12"/>
          <w:b w:val="1"/>
          <w:bCs w:val="1"/>
          <w:color w:val="auto"/>
        </w:rPr>
        <w:t xml:space="preserve"> $1.05 for Fourth Quarter and $3.83 for Full Year</w:t>
      </w:r>
    </w:p>
    <w:p>
      <w:pPr>
        <w:spacing w:after="0" w:line="82" w:lineRule="exact"/>
        <w:rPr>
          <w:sz w:val="20"/>
          <w:szCs w:val="20"/>
          <w:color w:val="auto"/>
        </w:rPr>
      </w:pPr>
    </w:p>
    <w:p>
      <w:pPr>
        <w:jc w:val="both"/>
        <w:ind w:left="8" w:right="20"/>
        <w:spacing w:after="0" w:line="286" w:lineRule="auto"/>
        <w:rPr>
          <w:sz w:val="20"/>
          <w:szCs w:val="20"/>
          <w:color w:val="auto"/>
        </w:rPr>
      </w:pPr>
      <w:r>
        <w:rPr>
          <w:rFonts w:ascii="Times New Roman" w:cs="Times New Roman" w:eastAsia="Times New Roman" w:hAnsi="Times New Roman"/>
          <w:sz w:val="12"/>
          <w:szCs w:val="12"/>
          <w:b w:val="1"/>
          <w:bCs w:val="1"/>
          <w:color w:val="auto"/>
        </w:rPr>
        <w:t xml:space="preserve">Plano, Texas, February 20, 2025 </w:t>
      </w:r>
      <w:r>
        <w:rPr>
          <w:rFonts w:ascii="Times New Roman" w:cs="Times New Roman" w:eastAsia="Times New Roman" w:hAnsi="Times New Roman"/>
          <w:sz w:val="12"/>
          <w:szCs w:val="12"/>
          <w:color w:val="auto"/>
        </w:rPr>
        <w:t>- Upbound Group, Inc. (the "Company" or "Upbound") (NASDAQ:UPBD) today announced results for the quarter and year ended December 31, 2024. The earnings release, financial tables and</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 xml:space="preserve">related materials can be found on the Company's investor relations website at </w:t>
      </w:r>
      <w:r>
        <w:rPr>
          <w:rFonts w:ascii="Times New Roman" w:cs="Times New Roman" w:eastAsia="Times New Roman" w:hAnsi="Times New Roman"/>
          <w:sz w:val="12"/>
          <w:szCs w:val="12"/>
          <w:u w:val="single" w:color="auto"/>
          <w:color w:val="auto"/>
        </w:rPr>
        <w:t>https://investor.upbound.com</w:t>
      </w:r>
      <w:r>
        <w:rPr>
          <w:rFonts w:ascii="Times New Roman" w:cs="Times New Roman" w:eastAsia="Times New Roman" w:hAnsi="Times New Roman"/>
          <w:sz w:val="12"/>
          <w:szCs w:val="12"/>
          <w:color w:val="auto"/>
        </w:rPr>
        <w:t>.</w:t>
      </w:r>
    </w:p>
    <w:p>
      <w:pPr>
        <w:spacing w:after="0" w:line="107" w:lineRule="exact"/>
        <w:rPr>
          <w:sz w:val="20"/>
          <w:szCs w:val="20"/>
          <w:color w:val="auto"/>
        </w:rPr>
      </w:pPr>
    </w:p>
    <w:p>
      <w:pPr>
        <w:jc w:val="both"/>
        <w:ind w:left="8" w:right="20"/>
        <w:spacing w:after="0" w:line="279" w:lineRule="auto"/>
        <w:rPr>
          <w:sz w:val="20"/>
          <w:szCs w:val="20"/>
          <w:color w:val="auto"/>
        </w:rPr>
      </w:pPr>
      <w:r>
        <w:rPr>
          <w:rFonts w:ascii="Times New Roman" w:cs="Times New Roman" w:eastAsia="Times New Roman" w:hAnsi="Times New Roman"/>
          <w:sz w:val="12"/>
          <w:szCs w:val="12"/>
          <w:color w:val="auto"/>
        </w:rPr>
        <w:t>Today at 9 a.m. ET, Mitch Fadel, Chief Executive Officer, and Fahmi Karam, Chief Financial Officer, will host a conference call to review the financial results and provide 2025 outlook. Interested parties can access a live webcast of the conference call via this link (</w:t>
      </w:r>
      <w:r>
        <w:rPr>
          <w:rFonts w:ascii="Times New Roman" w:cs="Times New Roman" w:eastAsia="Times New Roman" w:hAnsi="Times New Roman"/>
          <w:sz w:val="12"/>
          <w:szCs w:val="12"/>
          <w:u w:val="single" w:color="auto"/>
          <w:color w:val="auto"/>
        </w:rPr>
        <w:t>webcast link</w:t>
      </w:r>
      <w:r>
        <w:rPr>
          <w:rFonts w:ascii="Times New Roman" w:cs="Times New Roman" w:eastAsia="Times New Roman" w:hAnsi="Times New Roman"/>
          <w:sz w:val="12"/>
          <w:szCs w:val="12"/>
          <w:color w:val="auto"/>
        </w:rPr>
        <w:t>) or through the Company's investor relations website.</w:t>
      </w:r>
    </w:p>
    <w:p>
      <w:pPr>
        <w:spacing w:after="0" w:line="10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About Upbound Group, Inc.</w:t>
      </w:r>
    </w:p>
    <w:p>
      <w:pPr>
        <w:spacing w:after="0" w:line="154" w:lineRule="exact"/>
        <w:rPr>
          <w:sz w:val="20"/>
          <w:szCs w:val="20"/>
          <w:color w:val="auto"/>
        </w:rPr>
      </w:pPr>
    </w:p>
    <w:p>
      <w:pPr>
        <w:jc w:val="both"/>
        <w:ind w:left="8"/>
        <w:spacing w:after="0" w:line="265" w:lineRule="auto"/>
        <w:rPr>
          <w:sz w:val="20"/>
          <w:szCs w:val="20"/>
          <w:color w:val="auto"/>
        </w:rPr>
      </w:pPr>
      <w:r>
        <w:rPr>
          <w:rFonts w:ascii="Times New Roman" w:cs="Times New Roman" w:eastAsia="Times New Roman" w:hAnsi="Times New Roman"/>
          <w:sz w:val="12"/>
          <w:szCs w:val="12"/>
          <w:color w:val="auto"/>
        </w:rPr>
        <w:t xml:space="preserve">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including over 2,300 company branded retail units across the United States, Mexico and Puerto Rico. Upbound Group, Inc. is headquartered in Plano, Texas. For additional information about the Company, please visit our website </w:t>
      </w:r>
      <w:r>
        <w:rPr>
          <w:rFonts w:ascii="Times New Roman" w:cs="Times New Roman" w:eastAsia="Times New Roman" w:hAnsi="Times New Roman"/>
          <w:sz w:val="12"/>
          <w:szCs w:val="12"/>
          <w:u w:val="single" w:color="auto"/>
          <w:color w:val="auto"/>
        </w:rPr>
        <w:t>Upbound.com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2"/>
          <w:szCs w:val="12"/>
          <w:b w:val="1"/>
          <w:bCs w:val="1"/>
          <w:u w:val="single" w:color="auto"/>
          <w:color w:val="auto"/>
        </w:rPr>
        <w:t>Non-GAAP Financial Measures</w:t>
      </w:r>
    </w:p>
    <w:p>
      <w:pPr>
        <w:spacing w:after="0" w:line="154" w:lineRule="exact"/>
        <w:rPr>
          <w:sz w:val="20"/>
          <w:szCs w:val="20"/>
          <w:color w:val="auto"/>
        </w:rPr>
      </w:pPr>
    </w:p>
    <w:p>
      <w:pPr>
        <w:jc w:val="both"/>
        <w:ind w:left="8"/>
        <w:spacing w:after="0" w:line="260" w:lineRule="auto"/>
        <w:rPr>
          <w:sz w:val="20"/>
          <w:szCs w:val="20"/>
          <w:color w:val="auto"/>
        </w:rPr>
      </w:pPr>
      <w:r>
        <w:rPr>
          <w:rFonts w:ascii="Times New Roman" w:cs="Times New Roman" w:eastAsia="Times New Roman" w:hAnsi="Times New Roman"/>
          <w:sz w:val="12"/>
          <w:szCs w:val="12"/>
          <w:color w:val="auto"/>
        </w:rPr>
        <w:t>This release and the Company's related conference call contain certain financial information determined by methods other than in accordance with U.S. Generally Accepted Accounting Principles (GAAP), including (1) Non-GAAP diluted earnings per share (net earnings or loss, as adjusted for special items (as defined below), net of taxes, divided by the number of shares of our common stock on a fully diluted basis) and (2) other non-GAAP financial measures explained in the Company’s other quarterly earnings disclosures. “Special items” refers to certain gains and charges we view as extraordinary, unusual or non-recurring in nature or which we believe do not reflect our core business activities, and are reported as Other Gains and Charges in our Consolidated Statements of Operations.</w:t>
      </w:r>
    </w:p>
    <w:p>
      <w:pPr>
        <w:spacing w:after="0" w:line="122" w:lineRule="exact"/>
        <w:rPr>
          <w:sz w:val="20"/>
          <w:szCs w:val="20"/>
          <w:color w:val="auto"/>
        </w:rPr>
      </w:pPr>
    </w:p>
    <w:p>
      <w:pPr>
        <w:jc w:val="both"/>
        <w:ind w:left="8"/>
        <w:spacing w:after="0" w:line="254" w:lineRule="auto"/>
        <w:rPr>
          <w:sz w:val="20"/>
          <w:szCs w:val="20"/>
          <w:color w:val="auto"/>
        </w:rPr>
      </w:pPr>
      <w:r>
        <w:rPr>
          <w:rFonts w:ascii="Times New Roman" w:cs="Times New Roman" w:eastAsia="Times New Roman" w:hAnsi="Times New Roman"/>
          <w:sz w:val="12"/>
          <w:szCs w:val="12"/>
          <w:color w:val="auto"/>
        </w:rPr>
        <w:t>For the periods presented herein, these special items are described in the quantitative reconciliation table included below in this release. Because of the inherent uncertainty related to these special items, management does not believe it is able to provide a meaningful forecast of the comparable GAAP measures or reconciliation to any forecasted GAAP measure without unreasonable effort. These non-GAAP measures are additional tools intended to assist our management in comparing our performance on a more consistent basis for purposes of business decision-making by removing the impact of certain items management believes do not directly reflect our core operations. These measures are intended to assist management in evaluating operating performance and liquidity, comparing performance and liquidity across periods, planning and forecasting future business operations, helping determine levels of operating and capital investments and identifying and assessing additional trends potentially impacting our Company that may not be shown solely by comparisons of GAAP measures. Consolidated Adjusted EBITDA is also used as part of our incentive compensation program for our executive officers and others. We believe these non-GAAP financial measures also provide supplemental information that is useful to investors, analysts and other external users of our consolidated financial statements in understanding our financial results and evaluating our performance and liquidity from period to period. However, non-GAAP financial measures have inherent limitations and are not substitutes for, or superior to, GAAP financial measures, and they should be read together with our consolidated financial statements prepared in accordance with GAAP. Further, because non-GAAP financial measures are not standardized, it may not be possible to compare such measures to the non-GAAP financial measures presented by other companies, even if they have the same or similar names.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86995</wp:posOffset>
            </wp:positionV>
            <wp:extent cx="1794510" cy="57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794510" cy="5715"/>
                    </a:xfrm>
                    <a:prstGeom prst="rect">
                      <a:avLst/>
                    </a:prstGeom>
                    <a:noFill/>
                  </pic:spPr>
                </pic:pic>
              </a:graphicData>
            </a:graphic>
          </wp:anchor>
        </w:drawing>
      </w:r>
    </w:p>
    <w:p>
      <w:pPr>
        <w:spacing w:after="0" w:line="76" w:lineRule="exact"/>
        <w:rPr>
          <w:sz w:val="20"/>
          <w:szCs w:val="20"/>
          <w:color w:val="auto"/>
        </w:rPr>
      </w:pPr>
    </w:p>
    <w:p>
      <w:pPr>
        <w:ind w:left="88" w:hanging="88"/>
        <w:spacing w:after="0"/>
        <w:tabs>
          <w:tab w:leader="none" w:pos="88" w:val="left"/>
        </w:tabs>
        <w:numPr>
          <w:ilvl w:val="0"/>
          <w:numId w:val="2"/>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Non-GAAP financial measure. Refer to definitions and reconciliations included in this release.</w:t>
      </w:r>
    </w:p>
    <w:p>
      <w:pPr>
        <w:spacing w:after="0" w:line="277"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16510</wp:posOffset>
            </wp:positionV>
            <wp:extent cx="7178040" cy="57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281" w:right="299" w:bottom="1440" w:gutter="0" w:footer="0" w:header="0"/>
        </w:sectPr>
      </w:pPr>
    </w:p>
    <w:bookmarkStart w:id="21" w:name="page22"/>
    <w:bookmarkEnd w:id="21"/>
    <w:tbl>
      <w:tblPr>
        <w:tblLayout w:type="fixed"/>
        <w:tblInd w:w="8" w:type="dxa"/>
        <w:tblCellMar>
          <w:top w:w="0" w:type="dxa"/>
          <w:left w:w="0" w:type="dxa"/>
          <w:bottom w:w="0" w:type="dxa"/>
          <w:right w:w="0" w:type="dxa"/>
        </w:tblCellMar>
      </w:tblPr>
      <w:tr>
        <w:trPr>
          <w:trHeight w:val="138"/>
        </w:trPr>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b w:val="1"/>
                <w:bCs w:val="1"/>
                <w:color w:val="auto"/>
              </w:rPr>
              <w:t>Exhibit 1 - Reconciliation of diluted earnings per share to Non-GAAP diluted earnings per share</w:t>
            </w: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84"/>
        </w:trPr>
        <w:tc>
          <w:tcPr>
            <w:tcW w:w="4920" w:type="dxa"/>
            <w:vAlign w:val="bottom"/>
            <w:tcBorders>
              <w:top w:val="single" w:sz="8" w:color="auto"/>
            </w:tcBorders>
          </w:tcPr>
          <w:p>
            <w:pPr>
              <w:spacing w:after="0"/>
              <w:rPr>
                <w:sz w:val="24"/>
                <w:szCs w:val="24"/>
                <w:color w:val="auto"/>
              </w:rPr>
            </w:pPr>
          </w:p>
        </w:tc>
        <w:tc>
          <w:tcPr>
            <w:tcW w:w="4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rPr>
              <w:t>Diluted Earnings</w:t>
            </w:r>
          </w:p>
        </w:tc>
      </w:tr>
      <w:tr>
        <w:trPr>
          <w:trHeight w:val="155"/>
        </w:trPr>
        <w:tc>
          <w:tcPr>
            <w:tcW w:w="994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Three Months Ended December 31, 2024</w:t>
            </w:r>
          </w:p>
        </w:tc>
        <w:tc>
          <w:tcPr>
            <w:tcW w:w="140" w:type="dxa"/>
            <w:vAlign w:val="bottom"/>
          </w:tcPr>
          <w:p>
            <w:pPr>
              <w:spacing w:after="0"/>
              <w:rPr>
                <w:sz w:val="13"/>
                <w:szCs w:val="13"/>
                <w:color w:val="auto"/>
              </w:rPr>
            </w:pPr>
          </w:p>
        </w:tc>
        <w:tc>
          <w:tcPr>
            <w:tcW w:w="1220" w:type="dxa"/>
            <w:vAlign w:val="bottom"/>
            <w:gridSpan w:val="3"/>
          </w:tcPr>
          <w:p>
            <w:pPr>
              <w:jc w:val="center"/>
              <w:ind w:right="240"/>
              <w:spacing w:after="0"/>
              <w:rPr>
                <w:sz w:val="20"/>
                <w:szCs w:val="20"/>
                <w:color w:val="auto"/>
              </w:rPr>
            </w:pPr>
            <w:r>
              <w:rPr>
                <w:rFonts w:ascii="Times New Roman" w:cs="Times New Roman" w:eastAsia="Times New Roman" w:hAnsi="Times New Roman"/>
                <w:sz w:val="12"/>
                <w:szCs w:val="12"/>
                <w:color w:val="auto"/>
                <w:w w:val="99"/>
              </w:rPr>
              <w:t>Per Share</w:t>
            </w:r>
          </w:p>
        </w:tc>
      </w:tr>
      <w:tr>
        <w:trPr>
          <w:trHeight w:val="133"/>
        </w:trPr>
        <w:tc>
          <w:tcPr>
            <w:tcW w:w="9820" w:type="dxa"/>
            <w:vAlign w:val="bottom"/>
            <w:tcBorders>
              <w:top w:val="single" w:sz="8" w:color="auto"/>
            </w:tcBorders>
            <w:gridSpan w:val="2"/>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Results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jc w:val="right"/>
              <w:spacing w:after="0" w:line="133" w:lineRule="exact"/>
              <w:rPr>
                <w:sz w:val="20"/>
                <w:szCs w:val="20"/>
                <w:color w:val="auto"/>
              </w:rPr>
            </w:pPr>
            <w:r>
              <w:rPr>
                <w:rFonts w:ascii="Times New Roman" w:cs="Times New Roman" w:eastAsia="Times New Roman" w:hAnsi="Times New Roman"/>
                <w:sz w:val="12"/>
                <w:szCs w:val="12"/>
                <w:color w:val="auto"/>
              </w:rPr>
              <w:t>0.55</w:t>
            </w:r>
          </w:p>
        </w:tc>
        <w:tc>
          <w:tcPr>
            <w:tcW w:w="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r>
      <w:tr>
        <w:trPr>
          <w:trHeight w:val="171"/>
        </w:trPr>
        <w:tc>
          <w:tcPr>
            <w:tcW w:w="9940" w:type="dxa"/>
            <w:vAlign w:val="bottom"/>
            <w:gridSpan w:val="3"/>
          </w:tcPr>
          <w:p>
            <w:pPr>
              <w:ind w:left="100"/>
              <w:spacing w:after="0" w:line="171" w:lineRule="exact"/>
              <w:rPr>
                <w:sz w:val="20"/>
                <w:szCs w:val="20"/>
                <w:color w:val="auto"/>
              </w:rPr>
            </w:pPr>
            <w:r>
              <w:rPr>
                <w:rFonts w:ascii="Times New Roman" w:cs="Times New Roman" w:eastAsia="Times New Roman" w:hAnsi="Times New Roman"/>
                <w:sz w:val="12"/>
                <w:szCs w:val="12"/>
                <w:color w:val="auto"/>
              </w:rPr>
              <w:t>Plus: Special Items</w:t>
            </w:r>
            <w:r>
              <w:rPr>
                <w:rFonts w:ascii="Times New Roman" w:cs="Times New Roman" w:eastAsia="Times New Roman" w:hAnsi="Times New Roman"/>
                <w:sz w:val="19"/>
                <w:szCs w:val="19"/>
                <w:color w:val="auto"/>
                <w:vertAlign w:val="superscript"/>
              </w:rPr>
              <w:t>(1)</w:t>
            </w: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4"/>
        </w:trPr>
        <w:tc>
          <w:tcPr>
            <w:tcW w:w="9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Acima acquired assets depreciation and amortization</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0.21</w:t>
            </w:r>
          </w:p>
        </w:tc>
        <w:tc>
          <w:tcPr>
            <w:tcW w:w="100" w:type="dxa"/>
            <w:vAlign w:val="bottom"/>
            <w:shd w:val="clear" w:color="auto" w:fill="CCEEFF"/>
          </w:tcPr>
          <w:p>
            <w:pPr>
              <w:spacing w:after="0"/>
              <w:rPr>
                <w:sz w:val="12"/>
                <w:szCs w:val="12"/>
                <w:color w:val="auto"/>
              </w:rPr>
            </w:pPr>
          </w:p>
        </w:tc>
      </w:tr>
      <w:tr>
        <w:trPr>
          <w:trHeight w:val="144"/>
        </w:trPr>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Legal matters</w:t>
            </w:r>
          </w:p>
        </w:tc>
        <w:tc>
          <w:tcPr>
            <w:tcW w:w="14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0.06</w:t>
            </w:r>
          </w:p>
        </w:tc>
        <w:tc>
          <w:tcPr>
            <w:tcW w:w="100" w:type="dxa"/>
            <w:vAlign w:val="bottom"/>
          </w:tcPr>
          <w:p>
            <w:pPr>
              <w:spacing w:after="0"/>
              <w:rPr>
                <w:sz w:val="12"/>
                <w:szCs w:val="12"/>
                <w:color w:val="auto"/>
              </w:rPr>
            </w:pPr>
          </w:p>
        </w:tc>
      </w:tr>
      <w:tr>
        <w:trPr>
          <w:trHeight w:val="144"/>
        </w:trPr>
        <w:tc>
          <w:tcPr>
            <w:tcW w:w="9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Transaction Fees</w:t>
            </w:r>
          </w:p>
        </w:tc>
        <w:tc>
          <w:tcPr>
            <w:tcW w:w="1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0.05</w:t>
            </w:r>
          </w:p>
        </w:tc>
        <w:tc>
          <w:tcPr>
            <w:tcW w:w="100" w:type="dxa"/>
            <w:vAlign w:val="bottom"/>
            <w:shd w:val="clear" w:color="auto" w:fill="CCEEFF"/>
          </w:tcPr>
          <w:p>
            <w:pPr>
              <w:spacing w:after="0"/>
              <w:rPr>
                <w:sz w:val="12"/>
                <w:szCs w:val="12"/>
                <w:color w:val="auto"/>
              </w:rPr>
            </w:pPr>
          </w:p>
        </w:tc>
      </w:tr>
      <w:tr>
        <w:trPr>
          <w:trHeight w:val="144"/>
        </w:trPr>
        <w:tc>
          <w:tcPr>
            <w:tcW w:w="9940" w:type="dxa"/>
            <w:vAlign w:val="bottom"/>
            <w:gridSpan w:val="3"/>
          </w:tcPr>
          <w:p>
            <w:pPr>
              <w:ind w:left="200"/>
              <w:spacing w:after="0"/>
              <w:rPr>
                <w:sz w:val="20"/>
                <w:szCs w:val="20"/>
                <w:color w:val="auto"/>
              </w:rPr>
            </w:pPr>
            <w:r>
              <w:rPr>
                <w:rFonts w:ascii="Times New Roman" w:cs="Times New Roman" w:eastAsia="Times New Roman" w:hAnsi="Times New Roman"/>
                <w:sz w:val="12"/>
                <w:szCs w:val="12"/>
                <w:color w:val="auto"/>
              </w:rPr>
              <w:t>Accelerated stock compensation</w:t>
            </w:r>
          </w:p>
        </w:tc>
        <w:tc>
          <w:tcPr>
            <w:tcW w:w="140" w:type="dxa"/>
            <w:vAlign w:val="bottom"/>
          </w:tcPr>
          <w:p>
            <w:pPr>
              <w:spacing w:after="0"/>
              <w:rPr>
                <w:sz w:val="12"/>
                <w:szCs w:val="12"/>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2"/>
                <w:szCs w:val="12"/>
                <w:color w:val="auto"/>
              </w:rPr>
              <w:t>0.02</w:t>
            </w:r>
          </w:p>
        </w:tc>
        <w:tc>
          <w:tcPr>
            <w:tcW w:w="100" w:type="dxa"/>
            <w:vAlign w:val="bottom"/>
          </w:tcPr>
          <w:p>
            <w:pPr>
              <w:spacing w:after="0"/>
              <w:rPr>
                <w:sz w:val="12"/>
                <w:szCs w:val="12"/>
                <w:color w:val="auto"/>
              </w:rPr>
            </w:pPr>
          </w:p>
        </w:tc>
      </w:tr>
      <w:tr>
        <w:trPr>
          <w:trHeight w:val="153"/>
        </w:trPr>
        <w:tc>
          <w:tcPr>
            <w:tcW w:w="9940" w:type="dxa"/>
            <w:vAlign w:val="bottom"/>
            <w:gridSpan w:val="3"/>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Discrete income tax items</w:t>
            </w:r>
          </w:p>
        </w:tc>
        <w:tc>
          <w:tcPr>
            <w:tcW w:w="140" w:type="dxa"/>
            <w:vAlign w:val="bottom"/>
            <w:shd w:val="clear" w:color="auto" w:fill="CCEEFF"/>
          </w:tcPr>
          <w:p>
            <w:pPr>
              <w:spacing w:after="0"/>
              <w:rPr>
                <w:sz w:val="13"/>
                <w:szCs w:val="13"/>
                <w:color w:val="auto"/>
              </w:rPr>
            </w:pPr>
          </w:p>
        </w:tc>
        <w:tc>
          <w:tcPr>
            <w:tcW w:w="11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2"/>
                <w:szCs w:val="12"/>
                <w:color w:val="auto"/>
              </w:rPr>
              <w:t>0.16</w:t>
            </w:r>
          </w:p>
        </w:tc>
        <w:tc>
          <w:tcPr>
            <w:tcW w:w="100" w:type="dxa"/>
            <w:vAlign w:val="bottom"/>
            <w:shd w:val="clear" w:color="auto" w:fill="CCEEFF"/>
          </w:tcPr>
          <w:p>
            <w:pPr>
              <w:spacing w:after="0"/>
              <w:rPr>
                <w:sz w:val="13"/>
                <w:szCs w:val="13"/>
                <w:color w:val="auto"/>
              </w:rPr>
            </w:pPr>
          </w:p>
        </w:tc>
      </w:tr>
      <w:tr>
        <w:trPr>
          <w:trHeight w:val="149"/>
        </w:trPr>
        <w:tc>
          <w:tcPr>
            <w:tcW w:w="9940" w:type="dxa"/>
            <w:vAlign w:val="bottom"/>
            <w:gridSpan w:val="3"/>
          </w:tcPr>
          <w:p>
            <w:pPr>
              <w:spacing w:after="0" w:line="135" w:lineRule="exact"/>
              <w:rPr>
                <w:sz w:val="20"/>
                <w:szCs w:val="20"/>
                <w:color w:val="auto"/>
              </w:rPr>
            </w:pPr>
            <w:r>
              <w:rPr>
                <w:rFonts w:ascii="Times New Roman" w:cs="Times New Roman" w:eastAsia="Times New Roman" w:hAnsi="Times New Roman"/>
                <w:sz w:val="12"/>
                <w:szCs w:val="12"/>
                <w:color w:val="auto"/>
              </w:rPr>
              <w:t>Non-GAAP Adjusted Results</w:t>
            </w:r>
          </w:p>
        </w:tc>
        <w:tc>
          <w:tcPr>
            <w:tcW w:w="140" w:type="dxa"/>
            <w:vAlign w:val="bottom"/>
            <w:tcBorders>
              <w:top w:val="single" w:sz="8" w:color="auto"/>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r>
    </w:tbl>
    <w:p>
      <w:pPr>
        <w:spacing w:after="0" w:line="151" w:lineRule="exact"/>
        <w:rPr>
          <w:sz w:val="20"/>
          <w:szCs w:val="20"/>
          <w:color w:val="auto"/>
        </w:rPr>
      </w:pPr>
    </w:p>
    <w:p>
      <w:pPr>
        <w:ind w:left="208" w:hanging="208"/>
        <w:spacing w:after="0" w:line="194" w:lineRule="auto"/>
        <w:tabs>
          <w:tab w:leader="none" w:pos="208" w:val="left"/>
        </w:tabs>
        <w:numPr>
          <w:ilvl w:val="0"/>
          <w:numId w:val="3"/>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Additional details of Special items are included in Table 6 (Reconciliation of Net Earnings (Loss) to Net Earnings Excluding Special Items and Non-GAAP Diluted Earnings Per Share) of the fourth quarter 2024 earnings release dated February 20, 2025, which can be found on the Company's investor relations website as noted above.</w:t>
      </w:r>
    </w:p>
    <w:p>
      <w:pPr>
        <w:spacing w:after="0" w:line="135" w:lineRule="exact"/>
        <w:rPr>
          <w:sz w:val="20"/>
          <w:szCs w:val="20"/>
          <w:color w:val="auto"/>
        </w:rPr>
      </w:pPr>
    </w:p>
    <w:tbl>
      <w:tblPr>
        <w:tblLayout w:type="fixed"/>
        <w:tblInd w:w="8" w:type="dxa"/>
        <w:tblCellMar>
          <w:top w:w="0" w:type="dxa"/>
          <w:left w:w="0" w:type="dxa"/>
          <w:bottom w:w="0" w:type="dxa"/>
          <w:right w:w="0" w:type="dxa"/>
        </w:tblCellMar>
      </w:tblPr>
      <w:tr>
        <w:trPr>
          <w:trHeight w:val="144"/>
        </w:trPr>
        <w:tc>
          <w:tcPr>
            <w:tcW w:w="9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2"/>
                <w:szCs w:val="12"/>
                <w:color w:val="auto"/>
              </w:rPr>
              <w:t>Diluted Earnings</w:t>
            </w:r>
          </w:p>
        </w:tc>
      </w:tr>
      <w:tr>
        <w:trPr>
          <w:trHeight w:val="155"/>
        </w:trPr>
        <w:tc>
          <w:tcPr>
            <w:tcW w:w="994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Year Ended December 31, 2024</w:t>
            </w:r>
          </w:p>
        </w:tc>
        <w:tc>
          <w:tcPr>
            <w:tcW w:w="140" w:type="dxa"/>
            <w:vAlign w:val="bottom"/>
          </w:tcPr>
          <w:p>
            <w:pPr>
              <w:spacing w:after="0"/>
              <w:rPr>
                <w:sz w:val="13"/>
                <w:szCs w:val="13"/>
                <w:color w:val="auto"/>
              </w:rPr>
            </w:pPr>
          </w:p>
        </w:tc>
        <w:tc>
          <w:tcPr>
            <w:tcW w:w="1220" w:type="dxa"/>
            <w:vAlign w:val="bottom"/>
            <w:gridSpan w:val="2"/>
          </w:tcPr>
          <w:p>
            <w:pPr>
              <w:ind w:left="260"/>
              <w:spacing w:after="0"/>
              <w:rPr>
                <w:sz w:val="20"/>
                <w:szCs w:val="20"/>
                <w:color w:val="auto"/>
              </w:rPr>
            </w:pPr>
            <w:r>
              <w:rPr>
                <w:rFonts w:ascii="Times New Roman" w:cs="Times New Roman" w:eastAsia="Times New Roman" w:hAnsi="Times New Roman"/>
                <w:sz w:val="12"/>
                <w:szCs w:val="12"/>
                <w:color w:val="auto"/>
              </w:rPr>
              <w:t>Per Share</w:t>
            </w:r>
          </w:p>
        </w:tc>
      </w:tr>
      <w:tr>
        <w:trPr>
          <w:trHeight w:val="133"/>
        </w:trPr>
        <w:tc>
          <w:tcPr>
            <w:tcW w:w="9820" w:type="dxa"/>
            <w:vAlign w:val="bottom"/>
            <w:tcBorders>
              <w:top w:val="single" w:sz="8" w:color="auto"/>
            </w:tcBorders>
            <w:shd w:val="clear" w:color="auto" w:fill="CCEEFF"/>
          </w:tcPr>
          <w:p>
            <w:pPr>
              <w:spacing w:after="0" w:line="133" w:lineRule="exact"/>
              <w:rPr>
                <w:sz w:val="20"/>
                <w:szCs w:val="20"/>
                <w:color w:val="auto"/>
              </w:rPr>
            </w:pPr>
            <w:r>
              <w:rPr>
                <w:rFonts w:ascii="Times New Roman" w:cs="Times New Roman" w:eastAsia="Times New Roman" w:hAnsi="Times New Roman"/>
                <w:sz w:val="12"/>
                <w:szCs w:val="12"/>
                <w:color w:val="auto"/>
              </w:rPr>
              <w:t>GAAP Results</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CCEEFF"/>
          </w:tcPr>
          <w:p>
            <w:pPr>
              <w:ind w:left="900"/>
              <w:spacing w:after="0" w:line="133" w:lineRule="exact"/>
              <w:rPr>
                <w:sz w:val="20"/>
                <w:szCs w:val="20"/>
                <w:color w:val="auto"/>
              </w:rPr>
            </w:pPr>
            <w:r>
              <w:rPr>
                <w:rFonts w:ascii="Times New Roman" w:cs="Times New Roman" w:eastAsia="Times New Roman" w:hAnsi="Times New Roman"/>
                <w:sz w:val="12"/>
                <w:szCs w:val="12"/>
                <w:color w:val="auto"/>
                <w:w w:val="85"/>
              </w:rPr>
              <w:t>2.21</w:t>
            </w:r>
          </w:p>
        </w:tc>
        <w:tc>
          <w:tcPr>
            <w:tcW w:w="120" w:type="dxa"/>
            <w:vAlign w:val="bottom"/>
            <w:tcBorders>
              <w:top w:val="single" w:sz="8" w:color="CCEEFF"/>
            </w:tcBorders>
            <w:shd w:val="clear" w:color="auto" w:fill="CCEEFF"/>
          </w:tcPr>
          <w:p>
            <w:pPr>
              <w:spacing w:after="0"/>
              <w:rPr>
                <w:sz w:val="11"/>
                <w:szCs w:val="11"/>
                <w:color w:val="auto"/>
              </w:rPr>
            </w:pPr>
          </w:p>
        </w:tc>
      </w:tr>
      <w:tr>
        <w:trPr>
          <w:trHeight w:val="144"/>
        </w:trPr>
        <w:tc>
          <w:tcPr>
            <w:tcW w:w="9940" w:type="dxa"/>
            <w:vAlign w:val="bottom"/>
            <w:gridSpan w:val="2"/>
          </w:tcPr>
          <w:p>
            <w:pPr>
              <w:ind w:left="100"/>
              <w:spacing w:after="0"/>
              <w:rPr>
                <w:sz w:val="20"/>
                <w:szCs w:val="20"/>
                <w:color w:val="auto"/>
              </w:rPr>
            </w:pPr>
            <w:r>
              <w:rPr>
                <w:rFonts w:ascii="Times New Roman" w:cs="Times New Roman" w:eastAsia="Times New Roman" w:hAnsi="Times New Roman"/>
                <w:sz w:val="12"/>
                <w:szCs w:val="12"/>
                <w:color w:val="auto"/>
              </w:rPr>
              <w:t>Plus: Debt refinancing fees</w:t>
            </w:r>
          </w:p>
        </w:tc>
        <w:tc>
          <w:tcPr>
            <w:tcW w:w="140" w:type="dxa"/>
            <w:vAlign w:val="bottom"/>
          </w:tcPr>
          <w:p>
            <w:pPr>
              <w:spacing w:after="0"/>
              <w:rPr>
                <w:sz w:val="12"/>
                <w:szCs w:val="12"/>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0.08</w:t>
            </w:r>
          </w:p>
        </w:tc>
      </w:tr>
      <w:tr>
        <w:trPr>
          <w:trHeight w:val="171"/>
        </w:trPr>
        <w:tc>
          <w:tcPr>
            <w:tcW w:w="9940" w:type="dxa"/>
            <w:vAlign w:val="bottom"/>
            <w:gridSpan w:val="2"/>
            <w:shd w:val="clear" w:color="auto" w:fill="CCEEFF"/>
          </w:tcPr>
          <w:p>
            <w:pPr>
              <w:ind w:left="100"/>
              <w:spacing w:after="0" w:line="171" w:lineRule="exact"/>
              <w:rPr>
                <w:sz w:val="20"/>
                <w:szCs w:val="20"/>
                <w:color w:val="auto"/>
              </w:rPr>
            </w:pPr>
            <w:r>
              <w:rPr>
                <w:rFonts w:ascii="Times New Roman" w:cs="Times New Roman" w:eastAsia="Times New Roman" w:hAnsi="Times New Roman"/>
                <w:sz w:val="12"/>
                <w:szCs w:val="12"/>
                <w:color w:val="auto"/>
              </w:rPr>
              <w:t>Plus: Special Items</w:t>
            </w:r>
            <w:r>
              <w:rPr>
                <w:rFonts w:ascii="Times New Roman" w:cs="Times New Roman" w:eastAsia="Times New Roman" w:hAnsi="Times New Roman"/>
                <w:sz w:val="19"/>
                <w:szCs w:val="19"/>
                <w:color w:val="auto"/>
                <w:vertAlign w:val="superscript"/>
              </w:rPr>
              <w:t>(1)</w:t>
            </w:r>
          </w:p>
        </w:tc>
        <w:tc>
          <w:tcPr>
            <w:tcW w:w="14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4"/>
        </w:trPr>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Acima acquired assets depreciation and amortization</w:t>
            </w:r>
          </w:p>
        </w:tc>
        <w:tc>
          <w:tcPr>
            <w:tcW w:w="140" w:type="dxa"/>
            <w:vAlign w:val="bottom"/>
          </w:tcPr>
          <w:p>
            <w:pPr>
              <w:spacing w:after="0"/>
              <w:rPr>
                <w:sz w:val="12"/>
                <w:szCs w:val="12"/>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0.82</w:t>
            </w:r>
          </w:p>
        </w:tc>
      </w:tr>
      <w:tr>
        <w:trPr>
          <w:trHeight w:val="144"/>
        </w:trPr>
        <w:tc>
          <w:tcPr>
            <w:tcW w:w="9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Legal matters</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0.22</w:t>
            </w:r>
          </w:p>
        </w:tc>
      </w:tr>
      <w:tr>
        <w:trPr>
          <w:trHeight w:val="144"/>
        </w:trPr>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Acima equity consideration vesting</w:t>
            </w:r>
          </w:p>
        </w:tc>
        <w:tc>
          <w:tcPr>
            <w:tcW w:w="140" w:type="dxa"/>
            <w:vAlign w:val="bottom"/>
          </w:tcPr>
          <w:p>
            <w:pPr>
              <w:spacing w:after="0"/>
              <w:rPr>
                <w:sz w:val="12"/>
                <w:szCs w:val="12"/>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0.11</w:t>
            </w:r>
          </w:p>
        </w:tc>
      </w:tr>
      <w:tr>
        <w:trPr>
          <w:trHeight w:val="144"/>
        </w:trPr>
        <w:tc>
          <w:tcPr>
            <w:tcW w:w="9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Accelerated software depreciation</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0.08</w:t>
            </w:r>
          </w:p>
        </w:tc>
      </w:tr>
      <w:tr>
        <w:trPr>
          <w:trHeight w:val="144"/>
        </w:trPr>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Asset Impairments</w:t>
            </w:r>
          </w:p>
        </w:tc>
        <w:tc>
          <w:tcPr>
            <w:tcW w:w="140" w:type="dxa"/>
            <w:vAlign w:val="bottom"/>
          </w:tcPr>
          <w:p>
            <w:pPr>
              <w:spacing w:after="0"/>
              <w:rPr>
                <w:sz w:val="12"/>
                <w:szCs w:val="12"/>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0.08</w:t>
            </w:r>
          </w:p>
        </w:tc>
      </w:tr>
      <w:tr>
        <w:trPr>
          <w:trHeight w:val="144"/>
        </w:trPr>
        <w:tc>
          <w:tcPr>
            <w:tcW w:w="9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Accelerated stock compensation</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0.06</w:t>
            </w:r>
          </w:p>
        </w:tc>
      </w:tr>
      <w:tr>
        <w:trPr>
          <w:trHeight w:val="144"/>
        </w:trPr>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Transaction Fees</w:t>
            </w:r>
          </w:p>
        </w:tc>
        <w:tc>
          <w:tcPr>
            <w:tcW w:w="140" w:type="dxa"/>
            <w:vAlign w:val="bottom"/>
          </w:tcPr>
          <w:p>
            <w:pPr>
              <w:spacing w:after="0"/>
              <w:rPr>
                <w:sz w:val="12"/>
                <w:szCs w:val="12"/>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0.05</w:t>
            </w:r>
          </w:p>
        </w:tc>
      </w:tr>
      <w:tr>
        <w:trPr>
          <w:trHeight w:val="144"/>
        </w:trPr>
        <w:tc>
          <w:tcPr>
            <w:tcW w:w="99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2"/>
                <w:szCs w:val="12"/>
                <w:color w:val="auto"/>
              </w:rPr>
              <w:t>Other</w:t>
            </w:r>
          </w:p>
        </w:tc>
        <w:tc>
          <w:tcPr>
            <w:tcW w:w="14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rPr>
              <w:t>0.02</w:t>
            </w:r>
          </w:p>
        </w:tc>
      </w:tr>
      <w:tr>
        <w:trPr>
          <w:trHeight w:val="153"/>
        </w:trPr>
        <w:tc>
          <w:tcPr>
            <w:tcW w:w="9940" w:type="dxa"/>
            <w:vAlign w:val="bottom"/>
            <w:gridSpan w:val="2"/>
          </w:tcPr>
          <w:p>
            <w:pPr>
              <w:ind w:left="200"/>
              <w:spacing w:after="0"/>
              <w:rPr>
                <w:sz w:val="20"/>
                <w:szCs w:val="20"/>
                <w:color w:val="auto"/>
              </w:rPr>
            </w:pPr>
            <w:r>
              <w:rPr>
                <w:rFonts w:ascii="Times New Roman" w:cs="Times New Roman" w:eastAsia="Times New Roman" w:hAnsi="Times New Roman"/>
                <w:sz w:val="12"/>
                <w:szCs w:val="12"/>
                <w:color w:val="auto"/>
              </w:rPr>
              <w:t>Discrete income tax items</w:t>
            </w:r>
          </w:p>
        </w:tc>
        <w:tc>
          <w:tcPr>
            <w:tcW w:w="140" w:type="dxa"/>
            <w:vAlign w:val="bottom"/>
          </w:tcPr>
          <w:p>
            <w:pPr>
              <w:spacing w:after="0"/>
              <w:rPr>
                <w:sz w:val="13"/>
                <w:szCs w:val="13"/>
                <w:color w:val="auto"/>
              </w:rPr>
            </w:pPr>
          </w:p>
        </w:tc>
        <w:tc>
          <w:tcPr>
            <w:tcW w:w="1220" w:type="dxa"/>
            <w:vAlign w:val="bottom"/>
            <w:gridSpan w:val="2"/>
          </w:tcPr>
          <w:p>
            <w:pPr>
              <w:ind w:left="900"/>
              <w:spacing w:after="0"/>
              <w:rPr>
                <w:sz w:val="20"/>
                <w:szCs w:val="20"/>
                <w:color w:val="auto"/>
              </w:rPr>
            </w:pPr>
            <w:r>
              <w:rPr>
                <w:rFonts w:ascii="Times New Roman" w:cs="Times New Roman" w:eastAsia="Times New Roman" w:hAnsi="Times New Roman"/>
                <w:sz w:val="12"/>
                <w:szCs w:val="12"/>
                <w:color w:val="auto"/>
              </w:rPr>
              <w:t>0.10</w:t>
            </w:r>
          </w:p>
        </w:tc>
      </w:tr>
      <w:tr>
        <w:trPr>
          <w:trHeight w:val="149"/>
        </w:trPr>
        <w:tc>
          <w:tcPr>
            <w:tcW w:w="9940" w:type="dxa"/>
            <w:vAlign w:val="bottom"/>
            <w:tcBorders>
              <w:top w:val="single" w:sz="8" w:color="CCEEFF"/>
              <w:bottom w:val="single" w:sz="8" w:color="CCEEFF"/>
            </w:tcBorders>
            <w:gridSpan w:val="2"/>
            <w:shd w:val="clear" w:color="auto" w:fill="CCEEFF"/>
          </w:tcPr>
          <w:p>
            <w:pPr>
              <w:spacing w:after="0" w:line="135" w:lineRule="exact"/>
              <w:rPr>
                <w:sz w:val="20"/>
                <w:szCs w:val="20"/>
                <w:color w:val="auto"/>
              </w:rPr>
            </w:pPr>
            <w:r>
              <w:rPr>
                <w:rFonts w:ascii="Times New Roman" w:cs="Times New Roman" w:eastAsia="Times New Roman" w:hAnsi="Times New Roman"/>
                <w:sz w:val="12"/>
                <w:szCs w:val="12"/>
                <w:color w:val="auto"/>
              </w:rPr>
              <w:t>Non-GAAP Adjusted Results</w:t>
            </w:r>
          </w:p>
        </w:tc>
        <w:tc>
          <w:tcPr>
            <w:tcW w:w="140" w:type="dxa"/>
            <w:vAlign w:val="bottom"/>
            <w:tcBorders>
              <w:top w:val="single" w:sz="8" w:color="auto"/>
              <w:bottom w:val="single" w:sz="8" w:color="auto"/>
            </w:tcBorders>
            <w:shd w:val="clear" w:color="auto" w:fill="CCEEFF"/>
          </w:tcPr>
          <w:p>
            <w:pPr>
              <w:jc w:val="right"/>
              <w:ind w:right="26"/>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shd w:val="clear" w:color="auto" w:fill="CCEEFF"/>
          </w:tcPr>
          <w:p>
            <w:pPr>
              <w:ind w:left="900"/>
              <w:spacing w:after="0"/>
              <w:rPr>
                <w:sz w:val="20"/>
                <w:szCs w:val="20"/>
                <w:color w:val="auto"/>
              </w:rPr>
            </w:pPr>
            <w:r>
              <w:rPr>
                <w:rFonts w:ascii="Times New Roman" w:cs="Times New Roman" w:eastAsia="Times New Roman" w:hAnsi="Times New Roman"/>
                <w:sz w:val="12"/>
                <w:szCs w:val="12"/>
                <w:color w:val="auto"/>
                <w:w w:val="85"/>
              </w:rPr>
              <w:t>3.83</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r>
    </w:tbl>
    <w:p>
      <w:pPr>
        <w:spacing w:after="0" w:line="151" w:lineRule="exact"/>
        <w:rPr>
          <w:sz w:val="20"/>
          <w:szCs w:val="20"/>
          <w:color w:val="auto"/>
        </w:rPr>
      </w:pPr>
    </w:p>
    <w:p>
      <w:pPr>
        <w:ind w:left="208" w:hanging="208"/>
        <w:spacing w:after="0" w:line="194" w:lineRule="auto"/>
        <w:tabs>
          <w:tab w:leader="none" w:pos="208" w:val="left"/>
        </w:tabs>
        <w:numPr>
          <w:ilvl w:val="0"/>
          <w:numId w:val="4"/>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2"/>
          <w:szCs w:val="12"/>
          <w:color w:val="auto"/>
        </w:rPr>
        <w:t>Additional details of Special items are included in Table 8 (Reconciliation of Net Earnings (Loss) to Net Earnings Excluding Special Items and Non-GAAP Diluted Earnings Per Share) of the fourth quarter 2024 earnings release dated February 20, 2025, which can be found on the Company's investor relations website as noted above.</w:t>
      </w:r>
    </w:p>
    <w:p>
      <w:pPr>
        <w:spacing w:after="0" w:line="27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12"/>
          <w:szCs w:val="1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71780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8"/>
          </w:cols>
          <w:pgMar w:left="292" w:top="641" w:right="299" w:bottom="1440" w:gutter="0" w:footer="0" w:header="0"/>
        </w:sectPr>
      </w:pPr>
    </w:p>
    <w:bookmarkStart w:id="22" w:name="page23"/>
    <w:bookmarkEnd w:id="22"/>
    <w:p>
      <w:pPr>
        <w:ind w:left="9540"/>
        <w:spacing w:after="0"/>
        <w:rPr>
          <w:sz w:val="20"/>
          <w:szCs w:val="20"/>
          <w:color w:val="auto"/>
        </w:rPr>
      </w:pPr>
      <w:r>
        <w:rPr>
          <w:rFonts w:ascii="Times New Roman" w:cs="Times New Roman" w:eastAsia="Times New Roman" w:hAnsi="Times New Roman"/>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-539750</wp:posOffset>
            </wp:positionH>
            <wp:positionV relativeFrom="paragraph">
              <wp:posOffset>20320</wp:posOffset>
            </wp:positionV>
            <wp:extent cx="6800850" cy="65322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374015</wp:posOffset>
            </wp:positionH>
            <wp:positionV relativeFrom="page">
              <wp:posOffset>88900</wp:posOffset>
            </wp:positionV>
            <wp:extent cx="6800850" cy="65322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00850" cy="65322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ind w:left="9540"/>
        <w:spacing w:after="0"/>
        <w:rPr>
          <w:sz w:val="20"/>
          <w:szCs w:val="20"/>
          <w:color w:val="auto"/>
        </w:rPr>
      </w:pPr>
      <w:r>
        <w:rPr>
          <w:rFonts w:ascii="Times New Roman" w:cs="Times New Roman" w:eastAsia="Times New Roman" w:hAnsi="Times New Roman"/>
          <w:sz w:val="11"/>
          <w:szCs w:val="11"/>
          <w:b w:val="1"/>
          <w:bCs w:val="1"/>
          <w:color w:val="auto"/>
        </w:rPr>
        <w:t>Exhibit 99.3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-682625</wp:posOffset>
            </wp:positionH>
            <wp:positionV relativeFrom="paragraph">
              <wp:posOffset>20320</wp:posOffset>
            </wp:positionV>
            <wp:extent cx="7172960" cy="45262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0" w:num="1">
            <w:col w:w="10160"/>
          </w:cols>
          <w:pgMar w:left="1440" w:top="125" w:right="299" w:bottom="1440" w:gutter="0" w:footer="0" w:header="0"/>
        </w:sectPr>
      </w:pPr>
    </w:p>
    <w:bookmarkStart w:id="45" w:name="page46"/>
    <w:bookmarkEnd w:id="4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6" w:name="page47"/>
    <w:bookmarkEnd w:id="4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7" w:name="page48"/>
    <w:bookmarkEnd w:id="4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8" w:name="page49"/>
    <w:bookmarkEnd w:id="4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1" w:name="page52"/>
    <w:bookmarkEnd w:id="5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2" w:name="page53"/>
    <w:bookmarkEnd w:id="5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3" w:name="page54"/>
    <w:bookmarkEnd w:id="5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4" w:name="page55"/>
    <w:bookmarkEnd w:id="5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5" w:name="page56"/>
    <w:bookmarkEnd w:id="5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7" w:name="page58"/>
    <w:bookmarkEnd w:id="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8" w:name="page59"/>
    <w:bookmarkEnd w:id="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9" w:name="page60"/>
    <w:bookmarkEnd w:id="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0" w:name="page61"/>
    <w:bookmarkEnd w:id="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1" w:name="page62"/>
    <w:bookmarkEnd w:id="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2" w:name="page63"/>
    <w:bookmarkEnd w:id="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3" w:name="page64"/>
    <w:bookmarkEnd w:id="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6" w:name="page67"/>
    <w:bookmarkEnd w:id="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7" w:name="page68"/>
    <w:bookmarkEnd w:id="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8" w:name="page69"/>
    <w:bookmarkEnd w:id="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9" w:name="page70"/>
    <w:bookmarkEnd w:id="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231140</wp:posOffset>
            </wp:positionH>
            <wp:positionV relativeFrom="page">
              <wp:posOffset>88900</wp:posOffset>
            </wp:positionV>
            <wp:extent cx="7172960" cy="452628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2960" cy="4526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4"/>
          <w:szCs w:val="14"/>
          <w:b w:val="1"/>
          <w:bCs w:val="1"/>
          <w:color w:val="auto"/>
        </w:rPr>
        <w:t>Exhibit 99.4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116205</wp:posOffset>
            </wp:positionV>
            <wp:extent cx="2108835" cy="4343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08835" cy="434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Upbound Group Announces CEO Transition</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Mitch Fadel to Retire After 40 Years at Upbound</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EVP and CFO Fahmi Karam to Succeed Fadel as CEO Effective June 1, 2025</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i w:val="1"/>
          <w:iCs w:val="1"/>
          <w:color w:val="auto"/>
        </w:rPr>
        <w:t>Karam to Join Board of Directors</w:t>
      </w:r>
    </w:p>
    <w:p>
      <w:pPr>
        <w:spacing w:after="0" w:line="152"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PLANO, Texas – February 20, 2025 – Upbound Group, Inc. (“Upbound” or the “Company”) (NASDAQ: UPBD), a technology and data-driven leader in accessible and inclusive financial solutions that address the evolving needs and aspirations of underserved consumers, today announced that Mitch Fadel has decided to retire as Chief Executive Officer and step down from the Board after 40 years with Upbound. Executive Vice President and Chief Financial Officer Fahmi Karam will succeed Mr. Fadel as CEO and will join the Company’s Board effective June 1, 2025. Mr. Fadel will continue to serve as CEO and remain on the Board until that time and will work closely with Mr. Karam to ensure a seamless transition. The Board has commenced an internal and external search to identify Upbound’s next CFO and has engaged an executive search firm.</w:t>
      </w:r>
    </w:p>
    <w:p>
      <w:pPr>
        <w:spacing w:after="0" w:line="122"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“This transition is the culmination of a deliberate and thoughtful succession planning process in which Fahmi’s increasing contributions led to the Board’s unanimous decision that he is the clear choice to serve as Upbound’s next CEO,” said Jeffrey Brown, Chairman of the Board. “Fahmi is a proven leader with nearly 25 years of strategic and financial experience and an unrelenting commitment to our mission to expand financial inclusion. Fahmi brings a strong track record of operational excellence and deep knowledge of the business and of our consumers. As CFO, Fahmi has played an instrumental role in Upbound’s success, and the Board is confident that he is the ideal person to build on our solid foundation and accelerate our growth strategy.”</w:t>
      </w:r>
    </w:p>
    <w:p>
      <w:pPr>
        <w:spacing w:after="0" w:line="122"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“I am honored to become the next CEO of Upbound at such an exciting time for the Company,” said Mr. Karam. “It has been a pleasure to work with Mitch to drive growth, expand our platform and digitally transform our business to provide more innovative, inclusive, and technology-driven solutions dedicated to underserved consumers. I look forward to building on Mitch’s many accomplishments, continuing to expand our platform of impactful financial solutions and technologies, and driving increasing value for our shareholders and customers.”</w:t>
      </w:r>
    </w:p>
    <w:p>
      <w:pPr>
        <w:spacing w:after="0" w:line="119"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Mr. Brown continued: “On behalf of the Board, we thank Mitch for his effective leadership over many years and for strongly positioning Upbound to capitalize on the robust opportunities that lie ahead. Under Mitch, the business has been transformed from Rent-A-Center’s brick-and-mortar focus into Upbound’s differentiated omni-channel lease-to-own platform with virtual capabilities in over 35,000 merchant locations and national e-commerce partners, in addition to our recently expanded digital solutions through the newly acquired financial health app, Brigit. We are grateful for his commitment to assist in this important transition.”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276860</wp:posOffset>
            </wp:positionV>
            <wp:extent cx="7178040" cy="57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ectPr>
          <w:pgSz w:w="11900" w:h="16838" w:orient="portrait"/>
          <w:cols w:equalWidth="0" w:num="1">
            <w:col w:w="11300"/>
          </w:cols>
          <w:pgMar w:left="300" w:top="281" w:right="299" w:bottom="1440" w:gutter="0" w:footer="0" w:header="0"/>
        </w:sectPr>
      </w:pPr>
    </w:p>
    <w:bookmarkStart w:id="71" w:name="page72"/>
    <w:bookmarkEnd w:id="71"/>
    <w:p>
      <w:pPr>
        <w:spacing w:after="0" w:line="265" w:lineRule="auto"/>
        <w:rPr>
          <w:sz w:val="20"/>
          <w:szCs w:val="20"/>
          <w:color w:val="auto"/>
        </w:rPr>
      </w:pPr>
      <w:r>
        <w:rPr>
          <w:rFonts w:ascii="Times New Roman" w:cs="Times New Roman" w:eastAsia="Times New Roman" w:hAnsi="Times New Roman"/>
          <w:sz w:val="12"/>
          <w:szCs w:val="12"/>
          <w:color w:val="auto"/>
        </w:rPr>
        <w:t>“It has been a great honor to lead Upbound,” said Mr. Fadel. “Thanks to our incredibly talented team, we have cemented Upbound as an industry leader, expanded our impact, and grown our portfolio of best-in-class solutions that continue to improve the lives of our customers. With Upbound stronger than ever, we are now poised to enter an exciting new chapter of growth. It has been a pleasure to work alongside Fahmi over the past two and a half years and I am confident he is the right choice to lead Upbound. I look forward to continuing to work closely with him during the transition.”</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Upbound Group, Inc.</w:t>
      </w:r>
    </w:p>
    <w:p>
      <w:pPr>
        <w:spacing w:after="0" w:line="154" w:lineRule="exact"/>
        <w:rPr>
          <w:sz w:val="20"/>
          <w:szCs w:val="20"/>
          <w:color w:val="auto"/>
        </w:rPr>
      </w:pPr>
    </w:p>
    <w:p>
      <w:pPr>
        <w:ind w:right="120"/>
        <w:spacing w:after="0" w:line="265" w:lineRule="auto"/>
        <w:rPr>
          <w:sz w:val="20"/>
          <w:szCs w:val="20"/>
          <w:color w:val="auto"/>
        </w:rPr>
      </w:pPr>
      <w:r>
        <w:rPr>
          <w:rFonts w:ascii="Times New Roman" w:cs="Times New Roman" w:eastAsia="Times New Roman" w:hAnsi="Times New Roman"/>
          <w:sz w:val="12"/>
          <w:szCs w:val="12"/>
          <w:color w:val="auto"/>
        </w:rPr>
        <w:t xml:space="preserve">Upbound Group, Inc. (NASDAQ: UPBD), is a technology and data-driven leader in accessible and inclusive financial solutions that address the evolving needs and aspirations of underserved consumers. The Company’s customer-facing operating units include industry-leading brands such as Acima®, Brigit™, and Rent-A-Center® that facilitate consumer transactions across a wide range of store-based and digital channels, including over 2,300 company branded retail units across the United States, Mexico and Puerto Rico. Upbound Group, Inc. is headquartered in Plano, Texas. For additional information about the Company, please visit our website </w:t>
      </w:r>
      <w:r>
        <w:rPr>
          <w:rFonts w:ascii="Times New Roman" w:cs="Times New Roman" w:eastAsia="Times New Roman" w:hAnsi="Times New Roman"/>
          <w:sz w:val="12"/>
          <w:szCs w:val="12"/>
          <w:u w:val="single" w:color="auto"/>
          <w:color w:val="auto"/>
        </w:rPr>
        <w:t>Upbound.com</w:t>
      </w:r>
      <w:r>
        <w:rPr>
          <w:rFonts w:ascii="Times New Roman" w:cs="Times New Roman" w:eastAsia="Times New Roman" w:hAnsi="Times New Roman"/>
          <w:sz w:val="12"/>
          <w:szCs w:val="12"/>
          <w:color w:val="auto"/>
        </w:rPr>
        <w:t>.</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54"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2"/>
          <w:szCs w:val="12"/>
          <w:color w:val="auto"/>
        </w:rPr>
        <w:t>This press release contains forward-looking statements that involve risks and uncertainties. Such forward-looking statements generally can be identified by the use of forward-looking terminology such as "may," "will," "expect," "intend," "could," "estimate," "predict," "continue," "should," "anticipate," "believe," or “confident,” or the negative thereof or variations thereon or similar terminology and including, among others, statements concerning the Company’s growth strategies and initiatives and other future growth opportunities and ability to realize those opportunities. There can be no assurance that such expectations will occur. Except as required by law, the Company is not obligated to publicly release any revisions to these forward-looking statements to reflect events or circumstances after the date hereof or to reflect the occurrence of unanticipated events.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Investor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Jeff Chesnut</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SVP, IR &amp; Corporate Development</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972-801-1108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jeff.chesnut@upbound.com</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Media Contact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Kelly Kimberly</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FGS Global</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713-822-7538</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u w:val="single" w:color="auto"/>
          <w:color w:val="auto"/>
        </w:rPr>
        <w:t>kelly.kimberly@fgsglobal.com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289560</wp:posOffset>
            </wp:positionV>
            <wp:extent cx="7178040" cy="57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sectPr>
      <w:pgSz w:w="11900" w:h="16838" w:orient="portrait"/>
      <w:cols w:equalWidth="0" w:num="1">
        <w:col w:w="11140"/>
      </w:cols>
      <w:pgMar w:left="300" w:top="65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bullet"/>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2025-02-20T06:19:55Z</dcterms:created>
  <dcterms:modified xsi:type="dcterms:W3CDTF">2025-02-20T06:19:55Z</dcterms:modified>
</cp:coreProperties>
</file>