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288290</wp:posOffset>
            </wp:positionH>
            <wp:positionV relativeFrom="page">
              <wp:posOffset>506095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523240</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7"/>
          <w:szCs w:val="7"/>
          <w:color w:val="auto"/>
        </w:rPr>
        <w:t>__________________________________________________</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7"/>
          <w:szCs w:val="7"/>
          <w:color w:val="auto"/>
        </w:rPr>
        <w:t>__________________________________________________</w:t>
      </w:r>
    </w:p>
    <w:p>
      <w:pPr>
        <w:spacing w:after="0" w:line="58"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5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Date of Report:</w:t>
      </w:r>
    </w:p>
    <w:p>
      <w:pPr>
        <w:spacing w:after="0" w:line="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(Date of earliest event reported)</w:t>
      </w:r>
    </w:p>
    <w:p>
      <w:pPr>
        <w:spacing w:after="0" w:line="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May 1, 2025</w:t>
      </w:r>
    </w:p>
    <w:p>
      <w:pPr>
        <w:spacing w:after="0" w:line="4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4"/>
          <w:szCs w:val="24"/>
          <w:b w:val="1"/>
          <w:bCs w:val="1"/>
          <w:color w:val="auto"/>
        </w:rPr>
        <w:t>UPBOUND GROUP, INC.</w:t>
      </w:r>
    </w:p>
    <w:p>
      <w:pPr>
        <w:spacing w:after="0" w:line="3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charter)</w:t>
      </w:r>
    </w:p>
    <w:p>
      <w:pPr>
        <w:spacing w:after="0" w:line="4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ectPr>
          <w:pgSz w:w="11900" w:h="16838" w:orient="portrait"/>
          <w:cols w:equalWidth="0" w:num="1">
            <w:col w:w="10960"/>
          </w:cols>
          <w:pgMar w:left="300" w:top="918" w:right="639" w:bottom="1440" w:gutter="0" w:footer="0" w:header="0"/>
        </w:sectPr>
      </w:pPr>
    </w:p>
    <w:p>
      <w:pPr>
        <w:spacing w:after="0" w:line="20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0"/>
          <w:szCs w:val="10"/>
          <w:b w:val="1"/>
          <w:bCs w:val="1"/>
          <w:color w:val="auto"/>
        </w:rPr>
        <w:t>001-38047</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45-0491516</w:t>
      </w:r>
    </w:p>
    <w:p>
      <w:pPr>
        <w:spacing w:after="0" w:line="35" w:lineRule="exact"/>
        <w:rPr>
          <w:sz w:val="24"/>
          <w:szCs w:val="24"/>
          <w:color w:val="auto"/>
        </w:rPr>
      </w:pPr>
    </w:p>
    <w:p>
      <w:pPr>
        <w:sectPr>
          <w:pgSz w:w="11900" w:h="16838" w:orient="portrait"/>
          <w:cols w:equalWidth="0" w:num="3">
            <w:col w:w="4960" w:space="720"/>
            <w:col w:w="2900" w:space="720"/>
            <w:col w:w="1660"/>
          </w:cols>
          <w:pgMar w:left="300" w:top="918" w:right="6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ind w:left="1440"/>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8"/>
          <w:szCs w:val="8"/>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79" w:lineRule="exact"/>
        <w:rPr>
          <w:sz w:val="24"/>
          <w:szCs w:val="24"/>
          <w:color w:val="auto"/>
        </w:rPr>
      </w:pPr>
    </w:p>
    <w:p>
      <w:pPr>
        <w:sectPr>
          <w:pgSz w:w="11900" w:h="16838" w:orient="portrait"/>
          <w:cols w:equalWidth="0" w:num="3">
            <w:col w:w="4940" w:space="720"/>
            <w:col w:w="2860" w:space="720"/>
            <w:col w:w="1720"/>
          </w:cols>
          <w:pgMar w:left="300" w:top="918" w:right="63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5501 Headquarters Drive</w:t>
      </w:r>
    </w:p>
    <w:p>
      <w:pPr>
        <w:spacing w:after="0" w:line="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Plano, Texas 75024</w:t>
      </w:r>
    </w:p>
    <w:p>
      <w:pPr>
        <w:spacing w:after="0" w:line="1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and zip code)</w:t>
      </w:r>
    </w:p>
    <w:p>
      <w:pPr>
        <w:spacing w:after="0" w:line="1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(972) 801-1100</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1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N/A</w:t>
      </w:r>
    </w:p>
    <w:p>
      <w:pPr>
        <w:spacing w:after="0" w:line="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ectPr>
          <w:pgSz w:w="11900" w:h="16838" w:orient="portrait"/>
          <w:cols w:equalWidth="0" w:num="1">
            <w:col w:w="10960"/>
          </w:cols>
          <w:pgMar w:left="300" w:top="918" w:right="639"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2"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2"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0960"/>
          </w:cols>
          <w:pgMar w:left="300" w:top="918" w:right="639" w:bottom="1440" w:gutter="0" w:footer="0" w:header="0"/>
          <w:type w:val="continuous"/>
        </w:sectPr>
      </w:pPr>
    </w:p>
    <w:p>
      <w:pPr>
        <w:spacing w:after="0" w:line="27"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16"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Common Stock, $.01 Par Value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0"/>
          <w:szCs w:val="10"/>
          <w:color w:val="auto"/>
        </w:rPr>
        <w:t>Trading Symbol(s)</w:t>
      </w:r>
    </w:p>
    <w:p>
      <w:pPr>
        <w:spacing w:after="0" w:line="2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1"/>
          <w:szCs w:val="11"/>
          <w:color w:val="auto"/>
        </w:rPr>
        <w:t>UPBD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0"/>
          <w:szCs w:val="10"/>
          <w:color w:val="auto"/>
        </w:rPr>
        <w:t>Name of each exchange on which registered</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color w:val="auto"/>
        </w:rPr>
        <w:t>The Nasdaq Global Select Market</w:t>
      </w:r>
    </w:p>
    <w:p>
      <w:pPr>
        <w:spacing w:after="0" w:line="134" w:lineRule="exact"/>
        <w:rPr>
          <w:sz w:val="24"/>
          <w:szCs w:val="24"/>
          <w:color w:val="auto"/>
        </w:rPr>
      </w:pPr>
    </w:p>
    <w:p>
      <w:pPr>
        <w:sectPr>
          <w:pgSz w:w="11900" w:h="16838" w:orient="portrait"/>
          <w:cols w:equalWidth="0" w:num="3">
            <w:col w:w="4180" w:space="720"/>
            <w:col w:w="2200" w:space="720"/>
            <w:col w:w="3140"/>
          </w:cols>
          <w:pgMar w:left="300" w:top="91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spacing w:after="0" w:line="127" w:lineRule="exact"/>
        <w:tabs>
          <w:tab w:leader="none" w:pos="250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0780" w:type="dxa"/>
            <w:vAlign w:val="bottom"/>
          </w:tcPr>
          <w:p>
            <w:pPr>
              <w:spacing w:after="0"/>
              <w:rPr>
                <w:sz w:val="20"/>
                <w:szCs w:val="20"/>
                <w:color w:val="auto"/>
              </w:rPr>
            </w:pPr>
            <w:r>
              <w:rPr>
                <w:rFonts w:ascii="Times New Roman" w:cs="Times New Roman" w:eastAsia="Times New Roman" w:hAnsi="Times New Roman"/>
                <w:sz w:val="11"/>
                <w:szCs w:val="11"/>
                <w:color w:val="auto"/>
                <w:w w:val="98"/>
              </w:rPr>
              <w:t>If an emerging growth company, indicate by check mark if the registrant has elected not to use the extended transition period for complying with any new or revised financial accounting standards provided pursuant to Section 13(a) of the Exchange</w:t>
            </w:r>
          </w:p>
        </w:tc>
        <w:tc>
          <w:tcPr>
            <w:tcW w:w="18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6"/>
        </w:trPr>
        <w:tc>
          <w:tcPr>
            <w:tcW w:w="10780" w:type="dxa"/>
            <w:vAlign w:val="bottom"/>
          </w:tcPr>
          <w:p>
            <w:pPr>
              <w:spacing w:after="0"/>
              <w:rPr>
                <w:sz w:val="20"/>
                <w:szCs w:val="20"/>
                <w:color w:val="auto"/>
              </w:rPr>
            </w:pPr>
            <w:r>
              <w:rPr>
                <w:rFonts w:ascii="Times New Roman" w:cs="Times New Roman" w:eastAsia="Times New Roman" w:hAnsi="Times New Roman"/>
                <w:sz w:val="11"/>
                <w:szCs w:val="11"/>
                <w:color w:val="auto"/>
              </w:rPr>
              <w:t>Act.</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596900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7155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7155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ectPr>
          <w:pgSz w:w="11900" w:h="16838" w:orient="portrait"/>
          <w:cols w:equalWidth="0" w:num="1">
            <w:col w:w="10960"/>
          </w:cols>
          <w:pgMar w:left="300" w:top="91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1"/>
          <w:szCs w:val="11"/>
          <w:b w:val="1"/>
          <w:bCs w:val="1"/>
          <w:color w:val="auto"/>
        </w:rPr>
        <w:t>Item 2.02 Results of Operations and Financial Condition.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1"/>
          <w:szCs w:val="11"/>
          <w:color w:val="auto"/>
        </w:rPr>
        <w:t>On May 1, 2025, Upbound Group, Inc. issued a press release announcing its financial results for the first quarter ended March 31, 2025. Copies of the press release and earnings release are attached hereto as Exhibits 99.1 and 99.2, respectively, and are incorporated herein by reference. The information contained in this paragraph, as well as Exhibits 99.1 and 99.2 referenced herein, shall not be deemed “filed” for purposes of Section 18 of the Securities Exchange Act of 1934, nor shall it be deemed incorporated by reference in any filing under the Securities Act of 1933.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7.01 Regulation FD Disclosure.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1"/>
          <w:szCs w:val="11"/>
          <w:color w:val="auto"/>
        </w:rPr>
        <w:t>On May 1, 2025, Upbound Group, Inc. issued an investor presentation announcing its financial results for the first quarter ended March 31, 2025. A copy of the investor presentation is attached hereto as Exhibit 99.3 and is incorporated herein by reference. The information contained in this paragraph, as well as Exhibit 99.3 referenced herein, shall not be deemed “filed” for purposes of Section 18 of the Securities Exchange Act of 1934, nor shall it be deemed incorporated by reference in any filing under the Securities Act of 1933.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9.01 Financial Statements and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(d) Exhibits.</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60" w:type="dxa"/>
            <w:vAlign w:val="bottom"/>
          </w:tcPr>
          <w:p>
            <w:pPr>
              <w:spacing w:after="0"/>
              <w:rPr>
                <w:sz w:val="12"/>
                <w:szCs w:val="12"/>
                <w:color w:val="auto"/>
              </w:rPr>
            </w:pPr>
          </w:p>
        </w:tc>
      </w:tr>
      <w:tr>
        <w:trPr>
          <w:trHeight w:val="153"/>
        </w:trPr>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Exhibit No.</w:t>
            </w:r>
          </w:p>
        </w:tc>
        <w:tc>
          <w:tcPr>
            <w:tcW w:w="240" w:type="dxa"/>
            <w:vAlign w:val="bottom"/>
          </w:tcPr>
          <w:p>
            <w:pPr>
              <w:spacing w:after="0"/>
              <w:rPr>
                <w:sz w:val="13"/>
                <w:szCs w:val="13"/>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Description</w:t>
            </w:r>
          </w:p>
        </w:tc>
      </w:tr>
      <w:tr>
        <w:trPr>
          <w:trHeight w:val="110"/>
        </w:trPr>
        <w:tc>
          <w:tcPr>
            <w:tcW w:w="112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99.1</w:t>
            </w:r>
          </w:p>
        </w:tc>
        <w:tc>
          <w:tcPr>
            <w:tcW w:w="240" w:type="dxa"/>
            <w:vAlign w:val="bottom"/>
          </w:tcPr>
          <w:p>
            <w:pPr>
              <w:spacing w:after="0"/>
              <w:rPr>
                <w:sz w:val="9"/>
                <w:szCs w:val="9"/>
                <w:color w:val="auto"/>
              </w:rPr>
            </w:pPr>
          </w:p>
        </w:tc>
        <w:tc>
          <w:tcPr>
            <w:tcW w:w="9940" w:type="dxa"/>
            <w:vAlign w:val="bottom"/>
            <w:gridSpan w:val="4"/>
          </w:tcPr>
          <w:p>
            <w:pPr>
              <w:spacing w:after="0" w:line="110" w:lineRule="exact"/>
              <w:rPr>
                <w:sz w:val="20"/>
                <w:szCs w:val="20"/>
                <w:color w:val="auto"/>
              </w:rPr>
            </w:pPr>
            <w:r>
              <w:rPr>
                <w:rFonts w:ascii="Times New Roman" w:cs="Times New Roman" w:eastAsia="Times New Roman" w:hAnsi="Times New Roman"/>
                <w:sz w:val="11"/>
                <w:szCs w:val="11"/>
                <w:color w:val="0000FF"/>
              </w:rPr>
              <w:t>Press release, dated May 1, 2025</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124"/>
        </w:trPr>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99.2</w:t>
            </w:r>
          </w:p>
        </w:tc>
        <w:tc>
          <w:tcPr>
            <w:tcW w:w="240" w:type="dxa"/>
            <w:vAlign w:val="bottom"/>
          </w:tcPr>
          <w:p>
            <w:pPr>
              <w:spacing w:after="0"/>
              <w:rPr>
                <w:sz w:val="10"/>
                <w:szCs w:val="10"/>
                <w:color w:val="auto"/>
              </w:rPr>
            </w:pPr>
          </w:p>
        </w:tc>
        <w:tc>
          <w:tcPr>
            <w:tcW w:w="1580" w:type="dxa"/>
            <w:vAlign w:val="bottom"/>
            <w:tcBorders>
              <w:bottom w:val="single" w:sz="8" w:color="0000FF"/>
            </w:tcBorders>
            <w:gridSpan w:val="2"/>
          </w:tcPr>
          <w:p>
            <w:pPr>
              <w:spacing w:after="0" w:line="124" w:lineRule="exact"/>
              <w:rPr>
                <w:sz w:val="20"/>
                <w:szCs w:val="20"/>
                <w:color w:val="auto"/>
              </w:rPr>
            </w:pPr>
            <w:r>
              <w:rPr>
                <w:rFonts w:ascii="Times New Roman" w:cs="Times New Roman" w:eastAsia="Times New Roman" w:hAnsi="Times New Roman"/>
                <w:sz w:val="11"/>
                <w:szCs w:val="11"/>
                <w:color w:val="0000FF"/>
                <w:w w:val="97"/>
              </w:rPr>
              <w:t>Earnings release, dated May 1, 2025</w:t>
            </w:r>
          </w:p>
        </w:tc>
        <w:tc>
          <w:tcPr>
            <w:tcW w:w="8360" w:type="dxa"/>
            <w:vAlign w:val="bottom"/>
            <w:gridSpan w:val="2"/>
          </w:tcPr>
          <w:p>
            <w:pPr>
              <w:spacing w:after="0"/>
              <w:rPr>
                <w:sz w:val="10"/>
                <w:szCs w:val="10"/>
                <w:color w:val="auto"/>
              </w:rPr>
            </w:pPr>
          </w:p>
        </w:tc>
      </w:tr>
      <w:tr>
        <w:trPr>
          <w:trHeight w:val="124"/>
        </w:trPr>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99.3</w:t>
            </w:r>
          </w:p>
        </w:tc>
        <w:tc>
          <w:tcPr>
            <w:tcW w:w="240" w:type="dxa"/>
            <w:vAlign w:val="bottom"/>
          </w:tcPr>
          <w:p>
            <w:pPr>
              <w:spacing w:after="0"/>
              <w:rPr>
                <w:sz w:val="10"/>
                <w:szCs w:val="10"/>
                <w:color w:val="auto"/>
              </w:rPr>
            </w:pPr>
          </w:p>
        </w:tc>
        <w:tc>
          <w:tcPr>
            <w:tcW w:w="994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rPr>
              <w:t>Investor Presentation, dated May 1, 2025</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147"/>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104</w:t>
            </w:r>
          </w:p>
        </w:tc>
        <w:tc>
          <w:tcPr>
            <w:tcW w:w="240" w:type="dxa"/>
            <w:vAlign w:val="bottom"/>
          </w:tcPr>
          <w:p>
            <w:pPr>
              <w:spacing w:after="0"/>
              <w:rPr>
                <w:sz w:val="12"/>
                <w:szCs w:val="12"/>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the Inline XBRL document)</w:t>
            </w:r>
          </w:p>
        </w:tc>
      </w:tr>
      <w:tr>
        <w:trPr>
          <w:trHeight w:val="814"/>
        </w:trPr>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40" w:type="dxa"/>
            <w:vAlign w:val="bottom"/>
          </w:tcPr>
          <w:p>
            <w:pPr>
              <w:ind w:left="1760"/>
              <w:spacing w:after="0"/>
              <w:rPr>
                <w:sz w:val="20"/>
                <w:szCs w:val="20"/>
                <w:color w:val="auto"/>
              </w:rPr>
            </w:pPr>
            <w:r>
              <w:rPr>
                <w:rFonts w:ascii="Times New Roman" w:cs="Times New Roman" w:eastAsia="Times New Roman" w:hAnsi="Times New Roman"/>
                <w:sz w:val="11"/>
                <w:szCs w:val="11"/>
                <w:b w:val="1"/>
                <w:bCs w:val="1"/>
                <w:color w:val="auto"/>
              </w:rPr>
              <w:t>UPBOUND GROUP, INC.</w:t>
            </w:r>
          </w:p>
        </w:tc>
        <w:tc>
          <w:tcPr>
            <w:tcW w:w="5020" w:type="dxa"/>
            <w:vAlign w:val="bottom"/>
          </w:tcPr>
          <w:p>
            <w:pPr>
              <w:spacing w:after="0"/>
              <w:rPr>
                <w:sz w:val="12"/>
                <w:szCs w:val="12"/>
                <w:color w:val="auto"/>
              </w:rPr>
            </w:pPr>
          </w:p>
        </w:tc>
      </w:tr>
      <w:tr>
        <w:trPr>
          <w:trHeight w:val="328"/>
        </w:trPr>
        <w:tc>
          <w:tcPr>
            <w:tcW w:w="42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25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May 1, 2025</w:t>
            </w:r>
          </w:p>
        </w:tc>
        <w:tc>
          <w:tcPr>
            <w:tcW w:w="3240" w:type="dxa"/>
            <w:vAlign w:val="bottom"/>
          </w:tcPr>
          <w:p>
            <w:pPr>
              <w:ind w:left="1760"/>
              <w:spacing w:after="0"/>
              <w:rPr>
                <w:sz w:val="20"/>
                <w:szCs w:val="20"/>
                <w:color w:val="auto"/>
              </w:rPr>
            </w:pPr>
            <w:r>
              <w:rPr>
                <w:rFonts w:ascii="Times New Roman" w:cs="Times New Roman" w:eastAsia="Times New Roman" w:hAnsi="Times New Roman"/>
                <w:sz w:val="11"/>
                <w:szCs w:val="11"/>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 Fahmi W. Karam</w:t>
            </w:r>
          </w:p>
        </w:tc>
      </w:tr>
      <w:tr>
        <w:trPr>
          <w:trHeight w:val="129"/>
        </w:trPr>
        <w:tc>
          <w:tcPr>
            <w:tcW w:w="4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Fahmi W. Karam</w:t>
            </w:r>
          </w:p>
        </w:tc>
      </w:tr>
      <w:tr>
        <w:trPr>
          <w:trHeight w:val="153"/>
        </w:trPr>
        <w:tc>
          <w:tcPr>
            <w:tcW w:w="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EVP, Chief Financial Officer</w:t>
            </w:r>
          </w:p>
        </w:tc>
      </w:tr>
    </w:tbl>
    <w:p>
      <w:pPr>
        <w:sectPr>
          <w:pgSz w:w="11900" w:h="16838" w:orient="portrait"/>
          <w:cols w:equalWidth="0" w:num="1">
            <w:col w:w="11280"/>
          </w:cols>
          <w:pgMar w:left="300" w:top="641" w:right="319" w:bottom="1440" w:gutter="0" w:footer="0" w:header="0"/>
        </w:sectPr>
      </w:pPr>
    </w:p>
    <w:bookmarkStart w:id="3" w:name="page4"/>
    <w:bookmarkEnd w:id="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517525</wp:posOffset>
            </wp:positionV>
            <wp:extent cx="1754505" cy="508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54505" cy="50863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4"/>
          <w:szCs w:val="14"/>
          <w:b w:val="1"/>
          <w:bCs w:val="1"/>
          <w:color w:val="auto"/>
        </w:rPr>
        <w:t>UPBOUND GROUP, INC. REPORTS FIRST QUARTER 2025 RESULTS</w:t>
      </w: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Total Revenue of $1,176 million</w:t>
      </w:r>
    </w:p>
    <w:p>
      <w:pPr>
        <w:spacing w:after="0" w:line="9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GAAP Diluted EPS $0.42</w:t>
      </w:r>
    </w:p>
    <w:p>
      <w:pPr>
        <w:spacing w:after="0" w:line="8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Non-GAAP Diluted EPS</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$1.00</w:t>
      </w:r>
    </w:p>
    <w:p>
      <w:pPr>
        <w:spacing w:after="0" w:line="368" w:lineRule="exact"/>
        <w:rPr>
          <w:sz w:val="20"/>
          <w:szCs w:val="20"/>
          <w:color w:val="auto"/>
        </w:rPr>
      </w:pPr>
    </w:p>
    <w:p>
      <w:pPr>
        <w:jc w:val="both"/>
        <w:ind w:left="8" w:right="20"/>
        <w:spacing w:after="0" w:line="333" w:lineRule="auto"/>
        <w:rPr>
          <w:sz w:val="20"/>
          <w:szCs w:val="20"/>
          <w:color w:val="auto"/>
        </w:rPr>
      </w:pPr>
      <w:r>
        <w:rPr>
          <w:rFonts w:ascii="Arial" w:cs="Arial" w:eastAsia="Arial" w:hAnsi="Arial"/>
          <w:sz w:val="12"/>
          <w:szCs w:val="12"/>
          <w:b w:val="1"/>
          <w:bCs w:val="1"/>
          <w:color w:val="auto"/>
        </w:rPr>
        <w:t xml:space="preserve">Plano, Texas, May 1, 2025 </w:t>
      </w:r>
      <w:r>
        <w:rPr>
          <w:rFonts w:ascii="Arial" w:cs="Arial" w:eastAsia="Arial" w:hAnsi="Arial"/>
          <w:sz w:val="12"/>
          <w:szCs w:val="12"/>
          <w:color w:val="auto"/>
        </w:rPr>
        <w:t>- Upbound Group, Inc. (the "Company" or "Upbound") (NASDAQ:UPBD) today announced results for the quarter ended March 31, 2025. The earnings release, financial tables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related materials can be found on the Company's investor relations website at </w:t>
      </w:r>
      <w:r>
        <w:rPr>
          <w:rFonts w:ascii="Arial" w:cs="Arial" w:eastAsia="Arial" w:hAnsi="Arial"/>
          <w:sz w:val="12"/>
          <w:szCs w:val="12"/>
          <w:u w:val="single" w:color="auto"/>
          <w:color w:val="0000FF"/>
        </w:rPr>
        <w:t>https://investor.upbound.com</w:t>
      </w:r>
      <w:r>
        <w:rPr>
          <w:rFonts w:ascii="Arial" w:cs="Arial" w:eastAsia="Arial" w:hAnsi="Arial"/>
          <w:sz w:val="12"/>
          <w:szCs w:val="12"/>
          <w:color w:val="auto"/>
        </w:rPr>
        <w:t>.</w:t>
      </w:r>
    </w:p>
    <w:p>
      <w:pPr>
        <w:spacing w:after="0" w:line="85"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Today at 9 a.m. ET, Mitch Fadel, Chief Executive Officer, and Fahmi Karam, Chief Financial Officer, will host a conference call to review the financial results of the first quarter. Interested parties can access a live webcast of the conference call via this link (webcast link) or through the Company's investor relations website.</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About Upbound Group, Inc.</w:t>
      </w:r>
    </w:p>
    <w:p>
      <w:pPr>
        <w:spacing w:after="0" w:line="159"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color w:val="auto"/>
        </w:rPr>
        <w:t xml:space="preserve">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including approximately 2,300 company branded retail units across the United States, Mexico and Puerto Rico. Upbound Group, Inc. is headquartered in Plano, Texas. For additional information about the Company, please visit our website </w:t>
      </w:r>
      <w:r>
        <w:rPr>
          <w:rFonts w:ascii="Arial" w:cs="Arial" w:eastAsia="Arial" w:hAnsi="Arial"/>
          <w:sz w:val="12"/>
          <w:szCs w:val="12"/>
          <w:u w:val="single" w:color="auto"/>
          <w:color w:val="0000FF"/>
        </w:rPr>
        <w:t>Upbound.com</w:t>
      </w:r>
      <w:r>
        <w:rPr>
          <w:rFonts w:ascii="Arial" w:cs="Arial" w:eastAsia="Arial" w:hAnsi="Arial"/>
          <w:sz w:val="12"/>
          <w:szCs w:val="12"/>
          <w:color w:val="auto"/>
        </w:rPr>
        <w:t>.</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release and the Company's related conference call contain certain financial information determined by methods other than in accordance with U.S. Generally Accepted Accounting Principles (GAAP), including</w:t>
      </w:r>
    </w:p>
    <w:p>
      <w:pPr>
        <w:spacing w:after="0" w:line="21" w:lineRule="exact"/>
        <w:rPr>
          <w:sz w:val="20"/>
          <w:szCs w:val="20"/>
          <w:color w:val="auto"/>
        </w:rPr>
      </w:pPr>
    </w:p>
    <w:p>
      <w:pPr>
        <w:jc w:val="both"/>
        <w:ind w:left="8" w:hanging="8"/>
        <w:spacing w:after="0" w:line="286" w:lineRule="auto"/>
        <w:tabs>
          <w:tab w:leader="none" w:pos="191"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Non-GAAP diluted earnings per share (net earnings or loss, as adjusted for special items (as defined below), net of taxes, divided by the number of shares of our common stock on a fully diluted basis) and (2) other non-GAAP financial measures explained in the Company’s other quarterly earnings disclosures. “Special items” refers to certain gains and charges we view as extraordinary, unusual or non-recurring in nature or which we believe do not reflect our core business activities, and are reported as Other Gains and Charges in our Consolidated Statements of Operations.</w:t>
      </w:r>
    </w:p>
    <w:p>
      <w:pPr>
        <w:spacing w:after="0" w:line="113" w:lineRule="exact"/>
        <w:rPr>
          <w:sz w:val="20"/>
          <w:szCs w:val="20"/>
          <w:color w:val="auto"/>
        </w:rPr>
      </w:pPr>
    </w:p>
    <w:p>
      <w:pPr>
        <w:jc w:val="both"/>
        <w:ind w:left="8"/>
        <w:spacing w:after="0" w:line="278" w:lineRule="auto"/>
        <w:rPr>
          <w:sz w:val="20"/>
          <w:szCs w:val="20"/>
          <w:color w:val="auto"/>
        </w:rPr>
      </w:pPr>
      <w:r>
        <w:rPr>
          <w:rFonts w:ascii="Arial" w:cs="Arial" w:eastAsia="Arial" w:hAnsi="Arial"/>
          <w:sz w:val="12"/>
          <w:szCs w:val="12"/>
          <w:color w:val="auto"/>
        </w:rPr>
        <w:t>For the periods presented herein, these special items are described in the quantitative reconciliation table included below in this release. Because of the inherent uncertainty related to these special items, management does not believe it is able to provide a meaningful forecast of the comparable GAAP measures or reconciliation to any forecasted GAAP measure without unreasonable effort. 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7" w:lineRule="exact"/>
        <w:rPr>
          <w:sz w:val="20"/>
          <w:szCs w:val="20"/>
          <w:color w:val="auto"/>
        </w:rPr>
      </w:pPr>
    </w:p>
    <w:p>
      <w:pPr>
        <w:ind w:left="48" w:hanging="48"/>
        <w:spacing w:after="0"/>
        <w:tabs>
          <w:tab w:leader="none" w:pos="48" w:val="left"/>
        </w:tabs>
        <w:numPr>
          <w:ilvl w:val="0"/>
          <w:numId w:val="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Non-GAAP financial measure. Refer to definitions and reconciliations included in this release.</w:t>
      </w: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440" w:right="29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2"/>
          <w:szCs w:val="12"/>
          <w:color w:val="auto"/>
        </w:rPr>
        <w:t>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 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920" w:type="dxa"/>
            <w:vAlign w:val="bottom"/>
            <w:gridSpan w:val="2"/>
          </w:tcPr>
          <w:p>
            <w:pPr>
              <w:spacing w:after="0"/>
              <w:rPr>
                <w:sz w:val="20"/>
                <w:szCs w:val="20"/>
                <w:color w:val="auto"/>
              </w:rPr>
            </w:pPr>
            <w:r>
              <w:rPr>
                <w:rFonts w:ascii="Arial" w:cs="Arial" w:eastAsia="Arial" w:hAnsi="Arial"/>
                <w:sz w:val="11"/>
                <w:szCs w:val="11"/>
                <w:b w:val="1"/>
                <w:bCs w:val="1"/>
                <w:color w:val="auto"/>
              </w:rPr>
              <w:t>Exhibit 1 - Reconciliation of diluted earnings per share to Non-GAAP diluted earnings per share</w:t>
            </w:r>
          </w:p>
        </w:tc>
        <w:tc>
          <w:tcPr>
            <w:tcW w:w="24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169"/>
        </w:trPr>
        <w:tc>
          <w:tcPr>
            <w:tcW w:w="4880" w:type="dxa"/>
            <w:vAlign w:val="bottom"/>
            <w:tcBorders>
              <w:top w:val="single" w:sz="8" w:color="auto"/>
            </w:tcBorders>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51"/>
        </w:trPr>
        <w:tc>
          <w:tcPr>
            <w:tcW w:w="8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Three Months Ended March 31, 2025</w:t>
            </w:r>
          </w:p>
        </w:tc>
        <w:tc>
          <w:tcPr>
            <w:tcW w:w="2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1"/>
                <w:szCs w:val="11"/>
                <w:color w:val="auto"/>
              </w:rPr>
              <w:t>Diluted Earnings Per Share</w:t>
            </w:r>
          </w:p>
        </w:tc>
      </w:tr>
      <w:tr>
        <w:trPr>
          <w:trHeight w:val="161"/>
        </w:trPr>
        <w:tc>
          <w:tcPr>
            <w:tcW w:w="8920" w:type="dxa"/>
            <w:vAlign w:val="bottom"/>
            <w:gridSpan w:val="2"/>
          </w:tcPr>
          <w:p>
            <w:pPr>
              <w:spacing w:after="0"/>
              <w:rPr>
                <w:sz w:val="20"/>
                <w:szCs w:val="20"/>
                <w:color w:val="auto"/>
              </w:rPr>
            </w:pPr>
            <w:r>
              <w:rPr>
                <w:rFonts w:ascii="Arial" w:cs="Arial" w:eastAsia="Arial" w:hAnsi="Arial"/>
                <w:sz w:val="11"/>
                <w:szCs w:val="11"/>
                <w:color w:val="auto"/>
              </w:rPr>
              <w:t>GAAP Results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840" w:type="dxa"/>
            <w:vAlign w:val="bottom"/>
          </w:tcPr>
          <w:p>
            <w:pPr>
              <w:jc w:val="right"/>
              <w:spacing w:after="0"/>
              <w:rPr>
                <w:sz w:val="20"/>
                <w:szCs w:val="20"/>
                <w:color w:val="auto"/>
              </w:rPr>
            </w:pPr>
            <w:r>
              <w:rPr>
                <w:rFonts w:ascii="Arial" w:cs="Arial" w:eastAsia="Arial" w:hAnsi="Arial"/>
                <w:sz w:val="11"/>
                <w:szCs w:val="11"/>
                <w:color w:val="auto"/>
              </w:rPr>
              <w:t>0.42</w:t>
            </w:r>
          </w:p>
        </w:tc>
      </w:tr>
      <w:tr>
        <w:trPr>
          <w:trHeight w:val="199"/>
        </w:trPr>
        <w:tc>
          <w:tcPr>
            <w:tcW w:w="89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Plus: Special Items</w:t>
            </w:r>
            <w:r>
              <w:rPr>
                <w:rFonts w:ascii="Arial" w:cs="Arial" w:eastAsia="Arial" w:hAnsi="Arial"/>
                <w:sz w:val="14"/>
                <w:szCs w:val="14"/>
                <w:color w:val="auto"/>
                <w:vertAlign w:val="superscript"/>
              </w:rPr>
              <w:t>(1)</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81"/>
        </w:trPr>
        <w:tc>
          <w:tcPr>
            <w:tcW w:w="8920" w:type="dxa"/>
            <w:vAlign w:val="bottom"/>
            <w:gridSpan w:val="2"/>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r>
      <w:tr>
        <w:trPr>
          <w:trHeight w:val="151"/>
        </w:trPr>
        <w:tc>
          <w:tcPr>
            <w:tcW w:w="8920" w:type="dxa"/>
            <w:vAlign w:val="bottom"/>
            <w:gridSpan w:val="2"/>
          </w:tcPr>
          <w:p>
            <w:pPr>
              <w:ind w:left="140"/>
              <w:spacing w:after="0"/>
              <w:rPr>
                <w:sz w:val="20"/>
                <w:szCs w:val="20"/>
                <w:color w:val="auto"/>
              </w:rPr>
            </w:pPr>
            <w:r>
              <w:rPr>
                <w:rFonts w:ascii="Arial" w:cs="Arial" w:eastAsia="Arial" w:hAnsi="Arial"/>
                <w:sz w:val="11"/>
                <w:szCs w:val="11"/>
                <w:color w:val="auto"/>
              </w:rPr>
              <w:t>Acima acquired assets depreciation and amortization</w:t>
            </w:r>
          </w:p>
        </w:tc>
        <w:tc>
          <w:tcPr>
            <w:tcW w:w="2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0.18</w:t>
            </w:r>
          </w:p>
        </w:tc>
      </w:tr>
      <w:tr>
        <w:trPr>
          <w:trHeight w:val="20"/>
        </w:trPr>
        <w:tc>
          <w:tcPr>
            <w:tcW w:w="8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1"/>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Legal matters</w:t>
            </w:r>
          </w:p>
        </w:tc>
        <w:tc>
          <w:tcPr>
            <w:tcW w:w="2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0.14</w:t>
            </w:r>
          </w:p>
        </w:tc>
      </w:tr>
      <w:tr>
        <w:trPr>
          <w:trHeight w:val="151"/>
        </w:trPr>
        <w:tc>
          <w:tcPr>
            <w:tcW w:w="8920" w:type="dxa"/>
            <w:vAlign w:val="bottom"/>
            <w:gridSpan w:val="2"/>
          </w:tcPr>
          <w:p>
            <w:pPr>
              <w:ind w:left="140"/>
              <w:spacing w:after="0"/>
              <w:rPr>
                <w:sz w:val="20"/>
                <w:szCs w:val="20"/>
                <w:color w:val="auto"/>
              </w:rPr>
            </w:pPr>
            <w:r>
              <w:rPr>
                <w:rFonts w:ascii="Arial" w:cs="Arial" w:eastAsia="Arial" w:hAnsi="Arial"/>
                <w:sz w:val="11"/>
                <w:szCs w:val="11"/>
                <w:color w:val="auto"/>
              </w:rPr>
              <w:t>Brigit transaction costs</w:t>
            </w:r>
          </w:p>
        </w:tc>
        <w:tc>
          <w:tcPr>
            <w:tcW w:w="2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0.10</w:t>
            </w:r>
          </w:p>
        </w:tc>
      </w:tr>
      <w:tr>
        <w:trPr>
          <w:trHeight w:val="20"/>
        </w:trPr>
        <w:tc>
          <w:tcPr>
            <w:tcW w:w="8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1"/>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Brigit equity consideration vesting</w:t>
            </w:r>
          </w:p>
        </w:tc>
        <w:tc>
          <w:tcPr>
            <w:tcW w:w="2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0.07</w:t>
            </w:r>
          </w:p>
        </w:tc>
      </w:tr>
      <w:tr>
        <w:trPr>
          <w:trHeight w:val="161"/>
        </w:trPr>
        <w:tc>
          <w:tcPr>
            <w:tcW w:w="8920" w:type="dxa"/>
            <w:vAlign w:val="bottom"/>
            <w:gridSpan w:val="2"/>
          </w:tcPr>
          <w:p>
            <w:pPr>
              <w:ind w:left="140"/>
              <w:spacing w:after="0"/>
              <w:rPr>
                <w:sz w:val="20"/>
                <w:szCs w:val="20"/>
                <w:color w:val="auto"/>
              </w:rPr>
            </w:pPr>
            <w:r>
              <w:rPr>
                <w:rFonts w:ascii="Arial" w:cs="Arial" w:eastAsia="Arial" w:hAnsi="Arial"/>
                <w:sz w:val="11"/>
                <w:szCs w:val="11"/>
                <w:color w:val="auto"/>
              </w:rPr>
              <w:t>Brigit acquired assets depreciation and amortization</w:t>
            </w: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0.05</w:t>
            </w:r>
          </w:p>
        </w:tc>
      </w:tr>
      <w:tr>
        <w:trPr>
          <w:trHeight w:val="181"/>
        </w:trPr>
        <w:tc>
          <w:tcPr>
            <w:tcW w:w="89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Accelerated stock compensation</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r>
      <w:tr>
        <w:trPr>
          <w:trHeight w:val="151"/>
        </w:trPr>
        <w:tc>
          <w:tcPr>
            <w:tcW w:w="8920" w:type="dxa"/>
            <w:vAlign w:val="bottom"/>
            <w:gridSpan w:val="2"/>
          </w:tcPr>
          <w:p>
            <w:pPr>
              <w:ind w:left="140"/>
              <w:spacing w:after="0"/>
              <w:rPr>
                <w:sz w:val="20"/>
                <w:szCs w:val="20"/>
                <w:color w:val="auto"/>
              </w:rPr>
            </w:pPr>
            <w:r>
              <w:rPr>
                <w:rFonts w:ascii="Arial" w:cs="Arial" w:eastAsia="Arial" w:hAnsi="Arial"/>
                <w:sz w:val="11"/>
                <w:szCs w:val="11"/>
                <w:color w:val="auto"/>
              </w:rPr>
              <w:t>Brigit replacement awards and other agreement compensation</w:t>
            </w:r>
          </w:p>
        </w:tc>
        <w:tc>
          <w:tcPr>
            <w:tcW w:w="2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0.01</w:t>
            </w:r>
          </w:p>
        </w:tc>
      </w:tr>
      <w:tr>
        <w:trPr>
          <w:trHeight w:val="20"/>
        </w:trPr>
        <w:tc>
          <w:tcPr>
            <w:tcW w:w="8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24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0.01</w:t>
            </w:r>
          </w:p>
        </w:tc>
      </w:tr>
      <w:tr>
        <w:trPr>
          <w:trHeight w:val="169"/>
        </w:trPr>
        <w:tc>
          <w:tcPr>
            <w:tcW w:w="8920" w:type="dxa"/>
            <w:vAlign w:val="bottom"/>
            <w:gridSpan w:val="2"/>
          </w:tcPr>
          <w:p>
            <w:pPr>
              <w:spacing w:after="0"/>
              <w:rPr>
                <w:sz w:val="20"/>
                <w:szCs w:val="20"/>
                <w:color w:val="auto"/>
              </w:rPr>
            </w:pPr>
            <w:r>
              <w:rPr>
                <w:rFonts w:ascii="Arial" w:cs="Arial" w:eastAsia="Arial" w:hAnsi="Arial"/>
                <w:sz w:val="11"/>
                <w:szCs w:val="11"/>
                <w:color w:val="auto"/>
              </w:rPr>
              <w:t>Non-GAAP Adjusted Results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840" w:type="dxa"/>
            <w:vAlign w:val="bottom"/>
          </w:tcPr>
          <w:p>
            <w:pPr>
              <w:jc w:val="right"/>
              <w:spacing w:after="0"/>
              <w:rPr>
                <w:sz w:val="20"/>
                <w:szCs w:val="20"/>
                <w:color w:val="auto"/>
              </w:rPr>
            </w:pPr>
            <w:r>
              <w:rPr>
                <w:rFonts w:ascii="Arial" w:cs="Arial" w:eastAsia="Arial" w:hAnsi="Arial"/>
                <w:sz w:val="11"/>
                <w:szCs w:val="1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1270</wp:posOffset>
            </wp:positionV>
            <wp:extent cx="13144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4450" cy="5715"/>
                    </a:xfrm>
                    <a:prstGeom prst="rect">
                      <a:avLst/>
                    </a:prstGeom>
                    <a:noFill/>
                  </pic:spPr>
                </pic:pic>
              </a:graphicData>
            </a:graphic>
          </wp:anchor>
        </w:drawing>
      </w:r>
    </w:p>
    <w:p>
      <w:pPr>
        <w:ind w:left="120" w:right="320" w:hanging="116"/>
        <w:spacing w:after="0" w:line="226" w:lineRule="auto"/>
        <w:tabs>
          <w:tab w:leader="none" w:pos="117"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Additional details of Special items are included in Table 5 (Reconciliation of Net Earnings to Net Earnings Excluding Special Items and Non-GAAP Diluted Earnings Per Share) of the first quarter 2025 earnings release dated May 1, 2025, which can be found on the Company's investor relations website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-151765</wp:posOffset>
            </wp:positionV>
            <wp:extent cx="13144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4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93" w:right="29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41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4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2025-05-01T07:11:02Z</dcterms:created>
  <dcterms:modified xsi:type="dcterms:W3CDTF">2025-05-01T07:11:02Z</dcterms:modified>
</cp:coreProperties>
</file>